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3"/>
      </w:tblGrid>
      <w:tr w:rsidR="00FE1E6F" w:rsidRPr="002B416F" w14:paraId="18B71869" w14:textId="77777777" w:rsidTr="00DA034E">
        <w:tc>
          <w:tcPr>
            <w:tcW w:w="9623" w:type="dxa"/>
          </w:tcPr>
          <w:p w14:paraId="18B71868" w14:textId="1CF8EBE0" w:rsidR="00FE1E6F" w:rsidRPr="002B416F" w:rsidRDefault="000C7B43" w:rsidP="00220BBA">
            <w:pPr>
              <w:jc w:val="both"/>
              <w:rPr>
                <w:b/>
                <w:sz w:val="20"/>
                <w:lang w:eastAsia="en-US"/>
              </w:rPr>
            </w:pPr>
            <w:r>
              <w:rPr>
                <w:b/>
                <w:sz w:val="20"/>
                <w:lang w:eastAsia="en-US"/>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DA034E" w:rsidRPr="002B416F" w14:paraId="18B7186B" w14:textId="77777777" w:rsidTr="00DA034E">
        <w:tc>
          <w:tcPr>
            <w:tcW w:w="9623" w:type="dxa"/>
          </w:tcPr>
          <w:p w14:paraId="18B7186A" w14:textId="7C9B7668" w:rsidR="00DA034E" w:rsidRPr="002B416F" w:rsidRDefault="00472ED3" w:rsidP="00DA034E">
            <w:pPr>
              <w:jc w:val="both"/>
              <w:rPr>
                <w:b/>
                <w:sz w:val="20"/>
                <w:lang w:eastAsia="en-US"/>
              </w:rPr>
            </w:pPr>
            <w:r w:rsidRPr="002B416F">
              <w:rPr>
                <w:b/>
                <w:sz w:val="20"/>
              </w:rPr>
              <w:t xml:space="preserve">This Transcript is Crown Copyright.  It may not be reproduced in whole or in part other than in accordance with </w:t>
            </w:r>
            <w:r w:rsidRPr="002B416F">
              <w:rPr>
                <w:b/>
                <w:bCs/>
                <w:sz w:val="20"/>
              </w:rPr>
              <w:t>relevant licence</w:t>
            </w:r>
            <w:r w:rsidRPr="002B416F">
              <w:rPr>
                <w:b/>
                <w:sz w:val="20"/>
              </w:rPr>
              <w:t xml:space="preserve"> or with the express consent of the Authority.  All rights are reserved.</w:t>
            </w:r>
          </w:p>
        </w:tc>
      </w:tr>
    </w:tbl>
    <w:p w14:paraId="18B7186D" w14:textId="77777777" w:rsidR="00FE1E6F" w:rsidRDefault="00FE1E6F" w:rsidP="005948A2">
      <w:pPr>
        <w:suppressLineNumbers/>
        <w:tabs>
          <w:tab w:val="right" w:pos="9746"/>
        </w:tabs>
        <w:spacing w:line="360" w:lineRule="auto"/>
        <w:jc w:val="center"/>
        <w:rPr>
          <w:bCs/>
        </w:rPr>
      </w:pPr>
    </w:p>
    <w:tbl>
      <w:tblPr>
        <w:tblW w:w="0" w:type="auto"/>
        <w:tblLook w:val="01E0" w:firstRow="1" w:lastRow="1" w:firstColumn="1" w:lastColumn="1" w:noHBand="0" w:noVBand="0"/>
      </w:tblPr>
      <w:tblGrid>
        <w:gridCol w:w="6919"/>
        <w:gridCol w:w="2714"/>
      </w:tblGrid>
      <w:tr w:rsidR="00FE1E6F" w:rsidRPr="008961AB" w14:paraId="18B71871" w14:textId="77777777" w:rsidTr="00954780">
        <w:tc>
          <w:tcPr>
            <w:tcW w:w="7188" w:type="dxa"/>
          </w:tcPr>
          <w:p w14:paraId="18B7186E" w14:textId="1733534D" w:rsidR="00FE1E6F" w:rsidRPr="008961AB" w:rsidRDefault="003F519C" w:rsidP="003F519C">
            <w:pPr>
              <w:tabs>
                <w:tab w:val="right" w:pos="9746"/>
              </w:tabs>
              <w:spacing w:line="360" w:lineRule="auto"/>
              <w:ind w:left="-105"/>
            </w:pPr>
            <w:r>
              <w:rPr>
                <w:noProof/>
              </w:rPr>
              <w:drawing>
                <wp:anchor distT="0" distB="0" distL="114300" distR="114300" simplePos="0" relativeHeight="251657216" behindDoc="0" locked="0" layoutInCell="1" allowOverlap="1" wp14:anchorId="18B718C6" wp14:editId="465430EA">
                  <wp:simplePos x="0" y="0"/>
                  <wp:positionH relativeFrom="column">
                    <wp:posOffset>2512060</wp:posOffset>
                  </wp:positionH>
                  <wp:positionV relativeFrom="paragraph">
                    <wp:posOffset>-173355</wp:posOffset>
                  </wp:positionV>
                  <wp:extent cx="971550" cy="962025"/>
                  <wp:effectExtent l="0" t="0" r="0" b="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pic:spPr>
                      </pic:pic>
                    </a:graphicData>
                  </a:graphic>
                  <wp14:sizeRelH relativeFrom="page">
                    <wp14:pctWidth>0</wp14:pctWidth>
                  </wp14:sizeRelH>
                  <wp14:sizeRelV relativeFrom="page">
                    <wp14:pctHeight>0</wp14:pctHeight>
                  </wp14:sizeRelV>
                </wp:anchor>
              </w:drawing>
            </w:r>
            <w:r w:rsidR="00FE1E6F" w:rsidRPr="008961AB">
              <w:rPr>
                <w:u w:val="single"/>
              </w:rPr>
              <w:t>IN THE HIGH COURT OF JUSTICE</w:t>
            </w:r>
          </w:p>
          <w:p w14:paraId="16535B7F" w14:textId="17FF53F2" w:rsidR="00FE1E6F" w:rsidRDefault="002B416F" w:rsidP="003F519C">
            <w:pPr>
              <w:tabs>
                <w:tab w:val="right" w:pos="9746"/>
              </w:tabs>
              <w:spacing w:line="360" w:lineRule="auto"/>
              <w:ind w:left="-105"/>
              <w:rPr>
                <w:u w:val="single"/>
              </w:rPr>
            </w:pPr>
            <w:r>
              <w:rPr>
                <w:u w:val="single"/>
              </w:rPr>
              <w:t>QUEEN</w:t>
            </w:r>
            <w:r w:rsidR="009E463C">
              <w:rPr>
                <w:u w:val="single"/>
              </w:rPr>
              <w:t>'</w:t>
            </w:r>
            <w:r>
              <w:rPr>
                <w:u w:val="single"/>
              </w:rPr>
              <w:t>S BENCH DIVISION</w:t>
            </w:r>
          </w:p>
          <w:p w14:paraId="6565B31B" w14:textId="77777777" w:rsidR="002B416F" w:rsidRDefault="002B416F" w:rsidP="003F519C">
            <w:pPr>
              <w:tabs>
                <w:tab w:val="right" w:pos="9746"/>
              </w:tabs>
              <w:spacing w:line="360" w:lineRule="auto"/>
              <w:ind w:left="-105"/>
              <w:rPr>
                <w:u w:val="single"/>
              </w:rPr>
            </w:pPr>
            <w:r>
              <w:rPr>
                <w:u w:val="single"/>
              </w:rPr>
              <w:t>ADMINISTRATIVE COURT</w:t>
            </w:r>
          </w:p>
          <w:p w14:paraId="18B7186F" w14:textId="77EC4B7E" w:rsidR="0010106E" w:rsidRPr="0010106E" w:rsidRDefault="0010106E" w:rsidP="003F519C">
            <w:pPr>
              <w:tabs>
                <w:tab w:val="right" w:pos="9746"/>
              </w:tabs>
              <w:spacing w:line="360" w:lineRule="auto"/>
              <w:ind w:left="-105"/>
              <w:rPr>
                <w:b/>
                <w:bCs/>
              </w:rPr>
            </w:pPr>
            <w:r w:rsidRPr="0010106E">
              <w:rPr>
                <w:b/>
                <w:bCs/>
              </w:rPr>
              <w:t>[2021] EWHC 1182 (Admin)</w:t>
            </w:r>
          </w:p>
        </w:tc>
        <w:tc>
          <w:tcPr>
            <w:tcW w:w="2774" w:type="dxa"/>
          </w:tcPr>
          <w:p w14:paraId="18B71870" w14:textId="52FE93CC" w:rsidR="00FE1E6F" w:rsidRPr="008961AB" w:rsidRDefault="00FE1E6F" w:rsidP="0085132E">
            <w:pPr>
              <w:tabs>
                <w:tab w:val="right" w:pos="9746"/>
              </w:tabs>
              <w:jc w:val="right"/>
              <w:rPr>
                <w:u w:val="single"/>
              </w:rPr>
            </w:pPr>
            <w:r w:rsidRPr="008961AB">
              <w:rPr>
                <w:u w:val="single"/>
              </w:rPr>
              <w:t xml:space="preserve">No. </w:t>
            </w:r>
            <w:r w:rsidR="00E72C2A">
              <w:rPr>
                <w:u w:val="single"/>
              </w:rPr>
              <w:t>CO/3532/2020</w:t>
            </w:r>
          </w:p>
        </w:tc>
      </w:tr>
    </w:tbl>
    <w:p w14:paraId="7E2D5445" w14:textId="77777777" w:rsidR="00C52E11" w:rsidRDefault="00C52E11" w:rsidP="0085132E">
      <w:pPr>
        <w:tabs>
          <w:tab w:val="right" w:pos="9746"/>
        </w:tabs>
        <w:jc w:val="right"/>
        <w:rPr>
          <w:u w:val="single"/>
        </w:rPr>
      </w:pPr>
    </w:p>
    <w:p w14:paraId="18B71874" w14:textId="0F850C16" w:rsidR="00FE1E6F" w:rsidRDefault="00FE1E6F" w:rsidP="0085132E">
      <w:pPr>
        <w:tabs>
          <w:tab w:val="right" w:pos="9746"/>
        </w:tabs>
        <w:jc w:val="right"/>
        <w:rPr>
          <w:u w:val="single"/>
        </w:rPr>
      </w:pPr>
      <w:r w:rsidRPr="008961AB">
        <w:rPr>
          <w:u w:val="single"/>
        </w:rPr>
        <w:t>Royal Courts of Justice</w:t>
      </w:r>
    </w:p>
    <w:p w14:paraId="50ABF58E" w14:textId="77777777" w:rsidR="0085132E" w:rsidRPr="008961AB" w:rsidRDefault="0085132E" w:rsidP="0085132E">
      <w:pPr>
        <w:tabs>
          <w:tab w:val="right" w:pos="9746"/>
        </w:tabs>
        <w:jc w:val="right"/>
        <w:rPr>
          <w:u w:val="single"/>
        </w:rPr>
      </w:pPr>
    </w:p>
    <w:p w14:paraId="4C301168" w14:textId="4299A1E3" w:rsidR="003F519C" w:rsidRDefault="00E72C2A" w:rsidP="003F519C">
      <w:pPr>
        <w:ind w:left="576" w:hanging="576"/>
        <w:jc w:val="right"/>
      </w:pPr>
      <w:bookmarkStart w:id="0" w:name="_Hlk531772039"/>
      <w:r>
        <w:rPr>
          <w:u w:val="single"/>
        </w:rPr>
        <w:t>Tuesday, 20</w:t>
      </w:r>
      <w:r w:rsidR="003F519C">
        <w:rPr>
          <w:u w:val="single"/>
        </w:rPr>
        <w:t xml:space="preserve"> April 20</w:t>
      </w:r>
      <w:r>
        <w:rPr>
          <w:u w:val="single"/>
        </w:rPr>
        <w:t>21</w:t>
      </w:r>
    </w:p>
    <w:bookmarkEnd w:id="0"/>
    <w:p w14:paraId="18B71876" w14:textId="1DBF0E18" w:rsidR="00FE1E6F" w:rsidRDefault="00FE1E6F" w:rsidP="00560DC8">
      <w:pPr>
        <w:tabs>
          <w:tab w:val="left" w:pos="7983"/>
          <w:tab w:val="right" w:pos="9746"/>
        </w:tabs>
      </w:pPr>
    </w:p>
    <w:p w14:paraId="18B71877" w14:textId="77777777" w:rsidR="00FE1E6F" w:rsidRPr="008961AB" w:rsidRDefault="00FE1E6F" w:rsidP="001E6A2F">
      <w:pPr>
        <w:tabs>
          <w:tab w:val="right" w:pos="9746"/>
        </w:tabs>
      </w:pPr>
    </w:p>
    <w:p w14:paraId="18B71878" w14:textId="77777777" w:rsidR="00FE1E6F" w:rsidRPr="008961AB" w:rsidRDefault="00FE1E6F" w:rsidP="0085132E">
      <w:pPr>
        <w:tabs>
          <w:tab w:val="right" w:pos="9746"/>
        </w:tabs>
        <w:jc w:val="center"/>
      </w:pPr>
      <w:r w:rsidRPr="008961AB">
        <w:t>Before:</w:t>
      </w:r>
    </w:p>
    <w:p w14:paraId="18B71879" w14:textId="77777777" w:rsidR="00FE1E6F" w:rsidRPr="008961AB" w:rsidRDefault="00FE1E6F" w:rsidP="0085132E">
      <w:pPr>
        <w:tabs>
          <w:tab w:val="right" w:pos="9746"/>
        </w:tabs>
        <w:jc w:val="center"/>
      </w:pPr>
    </w:p>
    <w:p w14:paraId="18B7187A" w14:textId="5AAC62C1" w:rsidR="00FE1E6F" w:rsidRDefault="00E72C2A" w:rsidP="0085132E">
      <w:pPr>
        <w:tabs>
          <w:tab w:val="right" w:pos="9746"/>
        </w:tabs>
        <w:jc w:val="center"/>
        <w:rPr>
          <w:u w:val="single"/>
        </w:rPr>
      </w:pPr>
      <w:r>
        <w:rPr>
          <w:u w:val="single"/>
        </w:rPr>
        <w:t>LORD</w:t>
      </w:r>
      <w:r w:rsidR="00FE1E6F" w:rsidRPr="008961AB">
        <w:rPr>
          <w:u w:val="single"/>
        </w:rPr>
        <w:t xml:space="preserve"> JUSTICE</w:t>
      </w:r>
      <w:r>
        <w:rPr>
          <w:u w:val="single"/>
        </w:rPr>
        <w:t xml:space="preserve"> BEAN</w:t>
      </w:r>
    </w:p>
    <w:p w14:paraId="6CCBEDD0" w14:textId="606E0BDA" w:rsidR="0085132E" w:rsidRPr="008961AB" w:rsidRDefault="00E72C2A" w:rsidP="0085132E">
      <w:pPr>
        <w:tabs>
          <w:tab w:val="right" w:pos="9746"/>
        </w:tabs>
        <w:jc w:val="center"/>
        <w:rPr>
          <w:u w:val="single"/>
        </w:rPr>
      </w:pPr>
      <w:r>
        <w:rPr>
          <w:u w:val="single"/>
        </w:rPr>
        <w:t>MR JUSTICE CAVANAGH</w:t>
      </w:r>
    </w:p>
    <w:p w14:paraId="18B7187B" w14:textId="5DF5715C" w:rsidR="00FE1E6F" w:rsidRPr="00D90068" w:rsidRDefault="00FE1E6F" w:rsidP="0085132E">
      <w:pPr>
        <w:tabs>
          <w:tab w:val="right" w:pos="9746"/>
        </w:tabs>
        <w:jc w:val="center"/>
        <w:rPr>
          <w:b/>
          <w:i/>
        </w:rPr>
      </w:pPr>
    </w:p>
    <w:p w14:paraId="18B7187C" w14:textId="77777777" w:rsidR="00FE1E6F" w:rsidRPr="008961AB" w:rsidRDefault="00FE1E6F" w:rsidP="003F519C">
      <w:pPr>
        <w:tabs>
          <w:tab w:val="right" w:pos="9746"/>
        </w:tabs>
        <w:jc w:val="center"/>
      </w:pPr>
    </w:p>
    <w:p w14:paraId="18B7187E" w14:textId="77777777" w:rsidR="00FE1E6F" w:rsidRDefault="00FE1E6F" w:rsidP="0085132E">
      <w:pPr>
        <w:tabs>
          <w:tab w:val="right" w:pos="9746"/>
        </w:tabs>
      </w:pPr>
      <w:r w:rsidRPr="008961AB">
        <w:rPr>
          <w:u w:val="single"/>
        </w:rPr>
        <w:t xml:space="preserve">B E T W E </w:t>
      </w:r>
      <w:proofErr w:type="spellStart"/>
      <w:r w:rsidRPr="008961AB">
        <w:rPr>
          <w:u w:val="single"/>
        </w:rPr>
        <w:t>E</w:t>
      </w:r>
      <w:proofErr w:type="spellEnd"/>
      <w:r w:rsidRPr="008961AB">
        <w:rPr>
          <w:u w:val="single"/>
        </w:rPr>
        <w:t xml:space="preserve"> N</w:t>
      </w:r>
      <w:r w:rsidRPr="008961AB">
        <w:t xml:space="preserve"> :</w:t>
      </w:r>
    </w:p>
    <w:p w14:paraId="18B7187F" w14:textId="77777777" w:rsidR="00FE1E6F" w:rsidRDefault="00FE1E6F" w:rsidP="0085132E">
      <w:pPr>
        <w:tabs>
          <w:tab w:val="right" w:pos="9746"/>
        </w:tabs>
      </w:pPr>
    </w:p>
    <w:p w14:paraId="63F892BF" w14:textId="3057FEA4" w:rsidR="00E72C2A" w:rsidRDefault="00E1765A" w:rsidP="00E1765A">
      <w:pPr>
        <w:tabs>
          <w:tab w:val="center" w:pos="4874"/>
          <w:tab w:val="right" w:pos="9749"/>
        </w:tabs>
        <w:ind w:left="576" w:hanging="576"/>
        <w:jc w:val="center"/>
      </w:pPr>
      <w:r>
        <w:tab/>
      </w:r>
      <w:r w:rsidR="00E72C2A">
        <w:t xml:space="preserve">COMMISSIONERS FOR </w:t>
      </w:r>
    </w:p>
    <w:p w14:paraId="27F6404E" w14:textId="1BBB088F" w:rsidR="00E1765A" w:rsidRPr="009442DF" w:rsidRDefault="00E72C2A" w:rsidP="00E1765A">
      <w:pPr>
        <w:tabs>
          <w:tab w:val="center" w:pos="4874"/>
          <w:tab w:val="right" w:pos="9749"/>
        </w:tabs>
        <w:ind w:left="576" w:hanging="576"/>
        <w:jc w:val="center"/>
        <w:rPr>
          <w:u w:val="single"/>
        </w:rPr>
      </w:pPr>
      <w:r>
        <w:tab/>
      </w:r>
      <w:r>
        <w:tab/>
        <w:t xml:space="preserve">HER MAJESTY'S REVENUE &amp; CUSTOMS </w:t>
      </w:r>
      <w:r w:rsidR="00E1765A" w:rsidRPr="009442DF">
        <w:tab/>
      </w:r>
      <w:r w:rsidR="00960CD6">
        <w:rPr>
          <w:u w:val="single"/>
        </w:rPr>
        <w:t>App</w:t>
      </w:r>
      <w:r w:rsidR="008270F6">
        <w:rPr>
          <w:u w:val="single"/>
        </w:rPr>
        <w:t>ell</w:t>
      </w:r>
      <w:r w:rsidR="00BC282A" w:rsidRPr="00BC282A">
        <w:rPr>
          <w:u w:val="single"/>
        </w:rPr>
        <w:t>ant</w:t>
      </w:r>
      <w:r w:rsidR="008270F6">
        <w:rPr>
          <w:u w:val="single"/>
        </w:rPr>
        <w:t>s</w:t>
      </w:r>
    </w:p>
    <w:p w14:paraId="2D0DCB27" w14:textId="77777777" w:rsidR="00E1765A" w:rsidRPr="009442DF" w:rsidRDefault="00E1765A" w:rsidP="00E1765A">
      <w:pPr>
        <w:tabs>
          <w:tab w:val="center" w:pos="4874"/>
          <w:tab w:val="right" w:pos="9749"/>
        </w:tabs>
        <w:ind w:left="576" w:hanging="576"/>
        <w:jc w:val="center"/>
      </w:pPr>
    </w:p>
    <w:p w14:paraId="05375058" w14:textId="77777777" w:rsidR="00E1765A" w:rsidRPr="009442DF" w:rsidRDefault="00E1765A" w:rsidP="00E1765A">
      <w:pPr>
        <w:tabs>
          <w:tab w:val="center" w:pos="4874"/>
          <w:tab w:val="right" w:pos="9749"/>
        </w:tabs>
        <w:ind w:left="576" w:hanging="576"/>
        <w:jc w:val="center"/>
      </w:pPr>
      <w:r w:rsidRPr="009442DF">
        <w:t>-  and  -</w:t>
      </w:r>
    </w:p>
    <w:p w14:paraId="3611E3C9" w14:textId="77777777" w:rsidR="00E1765A" w:rsidRPr="009442DF" w:rsidRDefault="00E1765A" w:rsidP="00E1765A">
      <w:pPr>
        <w:tabs>
          <w:tab w:val="center" w:pos="4874"/>
          <w:tab w:val="right" w:pos="9749"/>
        </w:tabs>
        <w:ind w:left="576" w:hanging="576"/>
        <w:jc w:val="center"/>
      </w:pPr>
    </w:p>
    <w:p w14:paraId="675C691D" w14:textId="3C3B0D7E" w:rsidR="00E1765A" w:rsidRPr="009442DF" w:rsidRDefault="00E1765A" w:rsidP="00E1765A">
      <w:pPr>
        <w:tabs>
          <w:tab w:val="center" w:pos="4874"/>
          <w:tab w:val="right" w:pos="9749"/>
        </w:tabs>
        <w:ind w:left="576" w:hanging="576"/>
        <w:rPr>
          <w:u w:val="single"/>
        </w:rPr>
      </w:pPr>
      <w:r w:rsidRPr="009442DF">
        <w:tab/>
      </w:r>
      <w:r w:rsidRPr="009442DF">
        <w:tab/>
      </w:r>
      <w:r w:rsidR="008270F6">
        <w:t xml:space="preserve">JASVINDER </w:t>
      </w:r>
      <w:r w:rsidR="00E72C2A">
        <w:t>MANN</w:t>
      </w:r>
      <w:r w:rsidRPr="009442DF">
        <w:tab/>
      </w:r>
      <w:r w:rsidR="00960CD6">
        <w:rPr>
          <w:u w:val="single"/>
        </w:rPr>
        <w:t>Responde</w:t>
      </w:r>
      <w:r w:rsidR="00BC282A" w:rsidRPr="00BC282A">
        <w:rPr>
          <w:u w:val="single"/>
        </w:rPr>
        <w:t>nt</w:t>
      </w:r>
    </w:p>
    <w:p w14:paraId="39E48D23" w14:textId="4666094E" w:rsidR="00335524" w:rsidRDefault="00335524" w:rsidP="00335524">
      <w:pPr>
        <w:tabs>
          <w:tab w:val="center" w:pos="4874"/>
          <w:tab w:val="right" w:pos="9749"/>
        </w:tabs>
        <w:rPr>
          <w:highlight w:val="yellow"/>
        </w:rPr>
      </w:pPr>
    </w:p>
    <w:p w14:paraId="537FD52B" w14:textId="77777777" w:rsidR="003F519C" w:rsidRPr="003F519C" w:rsidRDefault="003F519C" w:rsidP="00335524">
      <w:pPr>
        <w:tabs>
          <w:tab w:val="center" w:pos="4874"/>
          <w:tab w:val="right" w:pos="9749"/>
        </w:tabs>
        <w:rPr>
          <w:highlight w:val="yellow"/>
        </w:rPr>
      </w:pPr>
    </w:p>
    <w:p w14:paraId="38609273" w14:textId="29A9A5AE" w:rsidR="00E1765A" w:rsidRPr="001101B6" w:rsidRDefault="00E1765A" w:rsidP="003F519C">
      <w:pPr>
        <w:suppressLineNumbers/>
        <w:tabs>
          <w:tab w:val="center" w:pos="4873"/>
          <w:tab w:val="right" w:pos="9746"/>
        </w:tabs>
        <w:jc w:val="center"/>
      </w:pPr>
    </w:p>
    <w:p w14:paraId="193A99EE" w14:textId="77777777" w:rsidR="00335524" w:rsidRDefault="00335524" w:rsidP="00E1765A">
      <w:pPr>
        <w:tabs>
          <w:tab w:val="center" w:pos="4873"/>
          <w:tab w:val="right" w:pos="9746"/>
        </w:tabs>
        <w:ind w:left="576" w:hanging="576"/>
        <w:rPr>
          <w:u w:val="single"/>
        </w:rPr>
      </w:pPr>
    </w:p>
    <w:p w14:paraId="18B71889" w14:textId="0C528A2F" w:rsidR="00FE1E6F" w:rsidRDefault="00FE1E6F" w:rsidP="00E1765A">
      <w:pPr>
        <w:tabs>
          <w:tab w:val="center" w:pos="4873"/>
          <w:tab w:val="right" w:pos="9746"/>
        </w:tabs>
        <w:jc w:val="center"/>
      </w:pPr>
      <w:r w:rsidRPr="00BB6533">
        <w:t>_________</w:t>
      </w:r>
    </w:p>
    <w:p w14:paraId="558BF71A" w14:textId="77777777" w:rsidR="0085132E" w:rsidRPr="00BB6533" w:rsidRDefault="0085132E" w:rsidP="00E1765A">
      <w:pPr>
        <w:tabs>
          <w:tab w:val="center" w:pos="4873"/>
          <w:tab w:val="right" w:pos="9746"/>
        </w:tabs>
        <w:jc w:val="center"/>
      </w:pPr>
    </w:p>
    <w:p w14:paraId="18B7188A" w14:textId="77777777" w:rsidR="00FE1E6F" w:rsidRDefault="00FE1E6F" w:rsidP="00E1765A">
      <w:pPr>
        <w:tabs>
          <w:tab w:val="center" w:pos="4873"/>
          <w:tab w:val="right" w:pos="9746"/>
        </w:tabs>
        <w:ind w:left="576" w:hanging="576"/>
        <w:rPr>
          <w:u w:val="single"/>
        </w:rPr>
      </w:pPr>
    </w:p>
    <w:p w14:paraId="18B7188B" w14:textId="5E7D434E" w:rsidR="00FE1E6F" w:rsidRPr="00540F93" w:rsidRDefault="008D435F" w:rsidP="00E1765A">
      <w:pPr>
        <w:tabs>
          <w:tab w:val="center" w:pos="4873"/>
          <w:tab w:val="right" w:pos="9746"/>
        </w:tabs>
        <w:ind w:left="576" w:hanging="576"/>
      </w:pPr>
      <w:r w:rsidRPr="000E53B9">
        <w:rPr>
          <w:u w:val="single"/>
        </w:rPr>
        <w:t xml:space="preserve">MR </w:t>
      </w:r>
      <w:r w:rsidR="00E72C2A">
        <w:rPr>
          <w:u w:val="single"/>
        </w:rPr>
        <w:t>T. RAINSBURY</w:t>
      </w:r>
      <w:r w:rsidR="00FE1E6F">
        <w:t xml:space="preserve"> </w:t>
      </w:r>
      <w:r w:rsidR="00FE1E6F" w:rsidRPr="00540F93">
        <w:t xml:space="preserve">appeared on behalf of the </w:t>
      </w:r>
      <w:r w:rsidR="00960CD6">
        <w:t>Applicant</w:t>
      </w:r>
      <w:r w:rsidR="00FD64CF">
        <w:t>.</w:t>
      </w:r>
    </w:p>
    <w:p w14:paraId="18B7188C" w14:textId="77777777" w:rsidR="00FE1E6F" w:rsidRPr="00540F93" w:rsidRDefault="00FE1E6F" w:rsidP="00E1765A">
      <w:pPr>
        <w:tabs>
          <w:tab w:val="center" w:pos="4873"/>
          <w:tab w:val="right" w:pos="9746"/>
        </w:tabs>
      </w:pPr>
    </w:p>
    <w:p w14:paraId="18B7188D" w14:textId="00F3C341" w:rsidR="00FE1E6F" w:rsidRDefault="00FD64CF" w:rsidP="002B416F">
      <w:pPr>
        <w:tabs>
          <w:tab w:val="center" w:pos="4873"/>
          <w:tab w:val="right" w:pos="9746"/>
        </w:tabs>
        <w:ind w:left="576" w:hanging="576"/>
      </w:pPr>
      <w:r>
        <w:rPr>
          <w:u w:val="single"/>
        </w:rPr>
        <w:t xml:space="preserve">THE </w:t>
      </w:r>
      <w:r w:rsidR="00960CD6">
        <w:rPr>
          <w:u w:val="single"/>
        </w:rPr>
        <w:t>RESPONDENT</w:t>
      </w:r>
      <w:r>
        <w:t xml:space="preserve">  was not present and was not represented.</w:t>
      </w:r>
    </w:p>
    <w:p w14:paraId="138FBD01" w14:textId="77777777" w:rsidR="0085132E" w:rsidRPr="00374AAE" w:rsidRDefault="0085132E" w:rsidP="00E1765A">
      <w:pPr>
        <w:tabs>
          <w:tab w:val="center" w:pos="4873"/>
          <w:tab w:val="right" w:pos="9746"/>
        </w:tabs>
        <w:ind w:left="576" w:hanging="576"/>
      </w:pPr>
    </w:p>
    <w:p w14:paraId="18B7188E" w14:textId="77777777" w:rsidR="00FE1E6F" w:rsidRPr="00BB6533" w:rsidRDefault="00FE1E6F" w:rsidP="00E1765A">
      <w:pPr>
        <w:tabs>
          <w:tab w:val="center" w:pos="4873"/>
          <w:tab w:val="right" w:pos="9746"/>
        </w:tabs>
        <w:jc w:val="center"/>
      </w:pPr>
      <w:r w:rsidRPr="00BB6533">
        <w:t>_________</w:t>
      </w:r>
    </w:p>
    <w:p w14:paraId="18B7188F" w14:textId="77777777" w:rsidR="00FE1E6F" w:rsidRPr="00BB6533" w:rsidRDefault="00FE1E6F" w:rsidP="0085132E">
      <w:pPr>
        <w:suppressLineNumbers/>
        <w:tabs>
          <w:tab w:val="center" w:pos="4873"/>
          <w:tab w:val="right" w:pos="9746"/>
        </w:tabs>
      </w:pPr>
    </w:p>
    <w:p w14:paraId="18B71890" w14:textId="77777777" w:rsidR="00FE1E6F" w:rsidRDefault="00FE1E6F" w:rsidP="0085132E">
      <w:pPr>
        <w:suppressLineNumbers/>
        <w:tabs>
          <w:tab w:val="center" w:pos="4873"/>
          <w:tab w:val="right" w:pos="9746"/>
        </w:tabs>
        <w:jc w:val="center"/>
        <w:rPr>
          <w:b/>
          <w:u w:val="single"/>
        </w:rPr>
      </w:pPr>
    </w:p>
    <w:p w14:paraId="18B71892" w14:textId="254C4D42" w:rsidR="00FE1E6F" w:rsidRDefault="00FE1E6F" w:rsidP="0085132E">
      <w:pPr>
        <w:suppressLineNumbers/>
        <w:tabs>
          <w:tab w:val="center" w:pos="4873"/>
          <w:tab w:val="right" w:pos="9746"/>
        </w:tabs>
        <w:jc w:val="center"/>
        <w:rPr>
          <w:b/>
          <w:u w:val="single"/>
        </w:rPr>
      </w:pPr>
      <w:r w:rsidRPr="00FD64CF">
        <w:rPr>
          <w:b/>
          <w:u w:val="single"/>
        </w:rPr>
        <w:t>J</w:t>
      </w:r>
      <w:r w:rsidR="00FD64CF">
        <w:rPr>
          <w:b/>
          <w:u w:val="single"/>
        </w:rPr>
        <w:t xml:space="preserve"> </w:t>
      </w:r>
      <w:r w:rsidRPr="00FD64CF">
        <w:rPr>
          <w:b/>
          <w:u w:val="single"/>
        </w:rPr>
        <w:t>U</w:t>
      </w:r>
      <w:r w:rsidR="00FD64CF">
        <w:rPr>
          <w:b/>
          <w:u w:val="single"/>
        </w:rPr>
        <w:t xml:space="preserve"> </w:t>
      </w:r>
      <w:r w:rsidRPr="00FD64CF">
        <w:rPr>
          <w:b/>
          <w:u w:val="single"/>
        </w:rPr>
        <w:t>D</w:t>
      </w:r>
      <w:r w:rsidR="00FD64CF">
        <w:rPr>
          <w:b/>
          <w:u w:val="single"/>
        </w:rPr>
        <w:t xml:space="preserve"> </w:t>
      </w:r>
      <w:r w:rsidRPr="00FD64CF">
        <w:rPr>
          <w:b/>
          <w:u w:val="single"/>
        </w:rPr>
        <w:t>G</w:t>
      </w:r>
      <w:r w:rsidR="00FD64CF">
        <w:rPr>
          <w:b/>
          <w:u w:val="single"/>
        </w:rPr>
        <w:t xml:space="preserve"> </w:t>
      </w:r>
      <w:r w:rsidRPr="00FD64CF">
        <w:rPr>
          <w:b/>
          <w:u w:val="single"/>
        </w:rPr>
        <w:t>M</w:t>
      </w:r>
      <w:r w:rsidR="00FD64CF">
        <w:rPr>
          <w:b/>
          <w:u w:val="single"/>
        </w:rPr>
        <w:t xml:space="preserve"> </w:t>
      </w:r>
      <w:r w:rsidRPr="00FD64CF">
        <w:rPr>
          <w:b/>
          <w:u w:val="single"/>
        </w:rPr>
        <w:t>E</w:t>
      </w:r>
      <w:r w:rsidR="00FD64CF">
        <w:rPr>
          <w:b/>
          <w:u w:val="single"/>
        </w:rPr>
        <w:t xml:space="preserve"> </w:t>
      </w:r>
      <w:r w:rsidRPr="00FD64CF">
        <w:rPr>
          <w:b/>
          <w:u w:val="single"/>
        </w:rPr>
        <w:t>N</w:t>
      </w:r>
      <w:r w:rsidR="00FD64CF">
        <w:rPr>
          <w:b/>
          <w:u w:val="single"/>
        </w:rPr>
        <w:t xml:space="preserve"> </w:t>
      </w:r>
      <w:r w:rsidRPr="00FD64CF">
        <w:rPr>
          <w:b/>
          <w:u w:val="single"/>
        </w:rPr>
        <w:t>T</w:t>
      </w:r>
    </w:p>
    <w:p w14:paraId="18B71893" w14:textId="77777777" w:rsidR="00FE1E6F" w:rsidRDefault="00FE1E6F" w:rsidP="0085132E"/>
    <w:p w14:paraId="18B71895" w14:textId="77777777" w:rsidR="00FE1E6F" w:rsidRPr="00BB6533" w:rsidRDefault="00FE1E6F" w:rsidP="0085132E"/>
    <w:p w14:paraId="18B71896" w14:textId="77777777" w:rsidR="00FE1E6F" w:rsidRDefault="00FE1E6F" w:rsidP="00BB6533">
      <w:pPr>
        <w:tabs>
          <w:tab w:val="center" w:pos="4873"/>
          <w:tab w:val="right" w:pos="9746"/>
        </w:tabs>
        <w:spacing w:line="360" w:lineRule="auto"/>
        <w:jc w:val="center"/>
        <w:sectPr w:rsidR="00FE1E6F" w:rsidSect="001342EA">
          <w:headerReference w:type="default" r:id="rId11"/>
          <w:footerReference w:type="default" r:id="rId12"/>
          <w:headerReference w:type="first" r:id="rId13"/>
          <w:pgSz w:w="11906" w:h="16838" w:code="9"/>
          <w:pgMar w:top="1440" w:right="833" w:bottom="720" w:left="1440" w:header="851" w:footer="567" w:gutter="0"/>
          <w:cols w:space="708"/>
          <w:titlePg/>
          <w:docGrid w:linePitch="360"/>
        </w:sectPr>
      </w:pPr>
    </w:p>
    <w:p w14:paraId="18B71899" w14:textId="6F1534F3" w:rsidR="00FE1E6F" w:rsidRPr="0011357C" w:rsidRDefault="00FD64CF" w:rsidP="00830547">
      <w:pPr>
        <w:tabs>
          <w:tab w:val="left" w:pos="567"/>
        </w:tabs>
        <w:rPr>
          <w:szCs w:val="28"/>
        </w:rPr>
      </w:pPr>
      <w:r>
        <w:rPr>
          <w:szCs w:val="28"/>
        </w:rPr>
        <w:lastRenderedPageBreak/>
        <w:t>LORD JUSTICE BEAN</w:t>
      </w:r>
      <w:r w:rsidR="00FE1E6F" w:rsidRPr="0011357C">
        <w:rPr>
          <w:szCs w:val="28"/>
        </w:rPr>
        <w:t xml:space="preserve">: </w:t>
      </w:r>
    </w:p>
    <w:p w14:paraId="18B7189A" w14:textId="0BD57698" w:rsidR="00FE1E6F" w:rsidRPr="0011357C" w:rsidRDefault="00FE1E6F" w:rsidP="00830547">
      <w:pPr>
        <w:pStyle w:val="ListParagraph"/>
        <w:tabs>
          <w:tab w:val="left" w:pos="567"/>
        </w:tabs>
        <w:rPr>
          <w:szCs w:val="28"/>
        </w:rPr>
      </w:pPr>
    </w:p>
    <w:p w14:paraId="0F232D3E" w14:textId="75EBFEE7" w:rsidR="00FD64CF" w:rsidRDefault="00FD64CF" w:rsidP="00830547">
      <w:pPr>
        <w:pStyle w:val="ListParagraph"/>
        <w:numPr>
          <w:ilvl w:val="0"/>
          <w:numId w:val="7"/>
        </w:numPr>
        <w:jc w:val="both"/>
        <w:rPr>
          <w:szCs w:val="28"/>
        </w:rPr>
      </w:pPr>
      <w:r>
        <w:rPr>
          <w:szCs w:val="28"/>
        </w:rPr>
        <w:t>On 1 October 2019, HMRC officers attended premises where they found boxes containing vodka worth some £220,000 in evaded duty and VAT, together with two plastic carrier bags each containing</w:t>
      </w:r>
      <w:r w:rsidR="005A2270">
        <w:rPr>
          <w:szCs w:val="28"/>
        </w:rPr>
        <w:t xml:space="preserve"> bundles</w:t>
      </w:r>
      <w:r>
        <w:rPr>
          <w:szCs w:val="28"/>
        </w:rPr>
        <w:t xml:space="preserve"> of </w:t>
      </w:r>
      <w:r w:rsidR="008270F6">
        <w:rPr>
          <w:szCs w:val="28"/>
        </w:rPr>
        <w:t>s</w:t>
      </w:r>
      <w:r>
        <w:rPr>
          <w:szCs w:val="28"/>
        </w:rPr>
        <w:t>terling notes totalling £35,000.</w:t>
      </w:r>
      <w:r w:rsidR="00A80EEF">
        <w:rPr>
          <w:szCs w:val="28"/>
        </w:rPr>
        <w:t xml:space="preserve">  </w:t>
      </w:r>
      <w:r w:rsidRPr="00A80EEF">
        <w:rPr>
          <w:szCs w:val="28"/>
        </w:rPr>
        <w:t>The respondent</w:t>
      </w:r>
      <w:r w:rsidR="00A80EEF" w:rsidRPr="00A80EEF">
        <w:rPr>
          <w:szCs w:val="28"/>
        </w:rPr>
        <w:t>,</w:t>
      </w:r>
      <w:r w:rsidRPr="00A80EEF">
        <w:rPr>
          <w:szCs w:val="28"/>
        </w:rPr>
        <w:t xml:space="preserve"> Jas</w:t>
      </w:r>
      <w:r w:rsidR="00960CD6">
        <w:rPr>
          <w:szCs w:val="28"/>
        </w:rPr>
        <w:t>v</w:t>
      </w:r>
      <w:r w:rsidRPr="00A80EEF">
        <w:rPr>
          <w:szCs w:val="28"/>
        </w:rPr>
        <w:t>inder Mann</w:t>
      </w:r>
      <w:r w:rsidR="00A80EEF" w:rsidRPr="00A80EEF">
        <w:rPr>
          <w:szCs w:val="28"/>
        </w:rPr>
        <w:t>, was arrested on suspicion of fraudulent evasion of excise duty</w:t>
      </w:r>
      <w:r w:rsidR="005A2270">
        <w:rPr>
          <w:szCs w:val="28"/>
        </w:rPr>
        <w:t>.  T</w:t>
      </w:r>
      <w:r w:rsidR="00A80EEF" w:rsidRPr="00A80EEF">
        <w:rPr>
          <w:szCs w:val="28"/>
        </w:rPr>
        <w:t xml:space="preserve">he £35,000 in cash was seized.  </w:t>
      </w:r>
    </w:p>
    <w:p w14:paraId="2D9DE5B5" w14:textId="77777777" w:rsidR="00A80EEF" w:rsidRPr="00A80EEF" w:rsidRDefault="00A80EEF" w:rsidP="00830547">
      <w:pPr>
        <w:pStyle w:val="ListParagraph"/>
        <w:jc w:val="both"/>
        <w:rPr>
          <w:szCs w:val="28"/>
        </w:rPr>
      </w:pPr>
    </w:p>
    <w:p w14:paraId="64080DF2" w14:textId="784B9D85" w:rsidR="00FD64CF" w:rsidRDefault="00A80EEF" w:rsidP="00830547">
      <w:pPr>
        <w:pStyle w:val="ListParagraph"/>
        <w:numPr>
          <w:ilvl w:val="0"/>
          <w:numId w:val="7"/>
        </w:numPr>
        <w:jc w:val="both"/>
        <w:rPr>
          <w:szCs w:val="28"/>
        </w:rPr>
      </w:pPr>
      <w:r>
        <w:rPr>
          <w:szCs w:val="28"/>
        </w:rPr>
        <w:t xml:space="preserve">On 3 October 2019, the Commissioners made applications for a first detention of cash under s.295(2)(a) of the Proceeds of Crime Act 2002, to the Westminster Magistrates' Court. </w:t>
      </w:r>
      <w:r w:rsidR="001A4F14">
        <w:rPr>
          <w:szCs w:val="28"/>
        </w:rPr>
        <w:t xml:space="preserve"> </w:t>
      </w:r>
      <w:r>
        <w:rPr>
          <w:szCs w:val="28"/>
        </w:rPr>
        <w:t>The court authorised the continued detention of the cash for six months.</w:t>
      </w:r>
    </w:p>
    <w:p w14:paraId="63C27412" w14:textId="77777777" w:rsidR="00A80EEF" w:rsidRDefault="00A80EEF" w:rsidP="00830547">
      <w:pPr>
        <w:pStyle w:val="ListParagraph"/>
        <w:jc w:val="both"/>
        <w:rPr>
          <w:szCs w:val="28"/>
        </w:rPr>
      </w:pPr>
    </w:p>
    <w:p w14:paraId="53F2EE5D" w14:textId="77777777" w:rsidR="008270F6" w:rsidRDefault="00A80EEF" w:rsidP="00830547">
      <w:pPr>
        <w:pStyle w:val="ListParagraph"/>
        <w:numPr>
          <w:ilvl w:val="0"/>
          <w:numId w:val="7"/>
        </w:numPr>
        <w:jc w:val="both"/>
        <w:rPr>
          <w:szCs w:val="28"/>
        </w:rPr>
      </w:pPr>
      <w:r>
        <w:rPr>
          <w:szCs w:val="28"/>
        </w:rPr>
        <w:t xml:space="preserve">On 24 March 2020, Mr Mann's representatives consented in writing to an application for the continued detention of cash for a further six months.  On 26 March 2020, </w:t>
      </w:r>
      <w:r w:rsidR="008270F6">
        <w:rPr>
          <w:szCs w:val="28"/>
        </w:rPr>
        <w:t>HMRC</w:t>
      </w:r>
      <w:r>
        <w:rPr>
          <w:szCs w:val="28"/>
        </w:rPr>
        <w:t xml:space="preserve"> filed the </w:t>
      </w:r>
      <w:r w:rsidR="0032280E">
        <w:rPr>
          <w:szCs w:val="28"/>
        </w:rPr>
        <w:t>information</w:t>
      </w:r>
      <w:r>
        <w:rPr>
          <w:szCs w:val="28"/>
        </w:rPr>
        <w:t xml:space="preserve"> and applications with the appropriate forms for an order for further detention under s.295(2)(b).  The evidence in support </w:t>
      </w:r>
      <w:r w:rsidR="00DD0FF3">
        <w:rPr>
          <w:szCs w:val="28"/>
        </w:rPr>
        <w:t xml:space="preserve">stated the suspicion of the Commissioners that the cash derived from the proceeds of crime, namely the fraudulent evasion of excise duty.  </w:t>
      </w:r>
    </w:p>
    <w:p w14:paraId="29AF45C5" w14:textId="77777777" w:rsidR="008270F6" w:rsidRPr="008270F6" w:rsidRDefault="008270F6" w:rsidP="00830547">
      <w:pPr>
        <w:pStyle w:val="ListParagraph"/>
        <w:rPr>
          <w:szCs w:val="28"/>
        </w:rPr>
      </w:pPr>
    </w:p>
    <w:p w14:paraId="3A02F109" w14:textId="71C49250" w:rsidR="00FD64CF" w:rsidRPr="008270F6" w:rsidRDefault="00DD0FF3" w:rsidP="00830547">
      <w:pPr>
        <w:pStyle w:val="ListParagraph"/>
        <w:numPr>
          <w:ilvl w:val="0"/>
          <w:numId w:val="7"/>
        </w:numPr>
        <w:jc w:val="both"/>
        <w:rPr>
          <w:szCs w:val="28"/>
        </w:rPr>
      </w:pPr>
      <w:r w:rsidRPr="008270F6">
        <w:rPr>
          <w:szCs w:val="28"/>
        </w:rPr>
        <w:t>It will be observed that March 2020 marked the beginning of the lockdowns which have occurred to cope with the coronavirus pandemic.  Indeed, the Coronavirus Act 2020 was given Royal Assent on 25 March, and many of its provisions came into force on 26 March.</w:t>
      </w:r>
      <w:r w:rsidR="008270F6" w:rsidRPr="008270F6">
        <w:rPr>
          <w:szCs w:val="28"/>
        </w:rPr>
        <w:t xml:space="preserve"> </w:t>
      </w:r>
      <w:r w:rsidRPr="008270F6">
        <w:rPr>
          <w:szCs w:val="28"/>
        </w:rPr>
        <w:t xml:space="preserve">Between 26 March and 2 April 2020, HMRC made numerous requests by telephone and email to arrange for their applications for further detention of the cash to be listed prior to the expiration of the </w:t>
      </w:r>
      <w:proofErr w:type="gramStart"/>
      <w:r w:rsidRPr="008270F6">
        <w:rPr>
          <w:szCs w:val="28"/>
        </w:rPr>
        <w:t>six month</w:t>
      </w:r>
      <w:proofErr w:type="gramEnd"/>
      <w:r w:rsidRPr="008270F6">
        <w:rPr>
          <w:szCs w:val="28"/>
        </w:rPr>
        <w:t xml:space="preserve"> period, which had begun on 3 October, but the court failed to arrange for these to be listed or even for the matter to have been dealt with administratively assuming for the moment that that would have been a lawful course to follow.</w:t>
      </w:r>
    </w:p>
    <w:p w14:paraId="52626DAE" w14:textId="77777777" w:rsidR="00DD0FF3" w:rsidRDefault="00DD0FF3" w:rsidP="00830547">
      <w:pPr>
        <w:pStyle w:val="ListParagraph"/>
        <w:jc w:val="both"/>
        <w:rPr>
          <w:szCs w:val="28"/>
        </w:rPr>
      </w:pPr>
    </w:p>
    <w:p w14:paraId="78A70AEA" w14:textId="3B5AAD24" w:rsidR="00984024" w:rsidRDefault="00DD0FF3" w:rsidP="00830547">
      <w:pPr>
        <w:pStyle w:val="ListParagraph"/>
        <w:numPr>
          <w:ilvl w:val="0"/>
          <w:numId w:val="7"/>
        </w:numPr>
        <w:jc w:val="both"/>
        <w:rPr>
          <w:szCs w:val="28"/>
        </w:rPr>
      </w:pPr>
      <w:r>
        <w:rPr>
          <w:szCs w:val="28"/>
        </w:rPr>
        <w:t xml:space="preserve">On 3 April the </w:t>
      </w:r>
      <w:proofErr w:type="gramStart"/>
      <w:r>
        <w:rPr>
          <w:szCs w:val="28"/>
        </w:rPr>
        <w:t>six month</w:t>
      </w:r>
      <w:proofErr w:type="gramEnd"/>
      <w:r>
        <w:rPr>
          <w:szCs w:val="28"/>
        </w:rPr>
        <w:t xml:space="preserve"> period expired and, accordingly, the orders authorising the continued detention of the cash expired on that date.  Three weeks later, on 24 April, the Westminster Magistrates' Court confirmed to the Commissioners that the applications would be listed for a remote telephone hearing on 28 April 2020.  </w:t>
      </w:r>
      <w:r w:rsidR="00984024">
        <w:rPr>
          <w:szCs w:val="28"/>
        </w:rPr>
        <w:t xml:space="preserve"> When that date came, the case was adjourned for the respondent, Mr Mann, to be given notice of the applications and for skeleton arguments to be served on the issue of jurisdiction.  On 22 June 2020, District Judge Susan Green heard legal argument advanced by the Commissioners.   Mr Mann's legal representative was present, but apparently made no submissions on behalf of the respondent.   </w:t>
      </w:r>
    </w:p>
    <w:p w14:paraId="20B11AEB" w14:textId="77777777" w:rsidR="00984024" w:rsidRDefault="00984024" w:rsidP="00830547">
      <w:pPr>
        <w:pStyle w:val="ListParagraph"/>
        <w:jc w:val="both"/>
        <w:rPr>
          <w:szCs w:val="28"/>
        </w:rPr>
      </w:pPr>
    </w:p>
    <w:p w14:paraId="3FA87156" w14:textId="3E071527" w:rsidR="00E61D3F" w:rsidRDefault="00984024" w:rsidP="00830547">
      <w:pPr>
        <w:pStyle w:val="ListParagraph"/>
        <w:numPr>
          <w:ilvl w:val="0"/>
          <w:numId w:val="7"/>
        </w:numPr>
        <w:jc w:val="both"/>
        <w:rPr>
          <w:szCs w:val="28"/>
        </w:rPr>
      </w:pPr>
      <w:r>
        <w:rPr>
          <w:szCs w:val="28"/>
        </w:rPr>
        <w:t xml:space="preserve">On 1 July 2020, District Judge Green delivered an oral judgment holding that the court had no jurisdiction to order the continued detention of the cash beyond the expiration of the first period of detention, namely, 3 April 2020.  She was asked to, and did, state a case for the opinion of this court, which Mr Tom </w:t>
      </w:r>
      <w:proofErr w:type="spellStart"/>
      <w:r>
        <w:rPr>
          <w:szCs w:val="28"/>
        </w:rPr>
        <w:t>Rainsbury</w:t>
      </w:r>
      <w:proofErr w:type="spellEnd"/>
      <w:r>
        <w:rPr>
          <w:szCs w:val="28"/>
        </w:rPr>
        <w:t>, for the Commissioners, has rightly described as thorough and helpful.</w:t>
      </w:r>
      <w:r w:rsidR="00BD78D6">
        <w:rPr>
          <w:szCs w:val="28"/>
        </w:rPr>
        <w:t xml:space="preserve">  She held that the court was bound by </w:t>
      </w:r>
      <w:r w:rsidR="00BD78D6">
        <w:rPr>
          <w:i/>
          <w:iCs/>
          <w:szCs w:val="28"/>
        </w:rPr>
        <w:t>dicta</w:t>
      </w:r>
      <w:r w:rsidR="00BD78D6">
        <w:rPr>
          <w:szCs w:val="28"/>
        </w:rPr>
        <w:t xml:space="preserve"> in two cases to which I shall refer later in this judgment, namely, </w:t>
      </w:r>
      <w:r w:rsidR="00BD78D6">
        <w:rPr>
          <w:i/>
          <w:iCs/>
          <w:szCs w:val="28"/>
        </w:rPr>
        <w:t xml:space="preserve">R v Uxbridge Magistrates Court </w:t>
      </w:r>
      <w:r w:rsidR="008270F6">
        <w:rPr>
          <w:i/>
          <w:iCs/>
          <w:szCs w:val="28"/>
        </w:rPr>
        <w:t>e</w:t>
      </w:r>
      <w:r w:rsidR="00BD78D6">
        <w:rPr>
          <w:i/>
          <w:iCs/>
          <w:szCs w:val="28"/>
        </w:rPr>
        <w:t xml:space="preserve">x </w:t>
      </w:r>
      <w:r w:rsidR="008270F6">
        <w:rPr>
          <w:i/>
          <w:iCs/>
          <w:szCs w:val="28"/>
        </w:rPr>
        <w:t>p</w:t>
      </w:r>
      <w:r w:rsidR="00BD78D6">
        <w:rPr>
          <w:i/>
          <w:iCs/>
          <w:szCs w:val="28"/>
        </w:rPr>
        <w:t>arte Henry</w:t>
      </w:r>
      <w:r w:rsidR="008270F6">
        <w:rPr>
          <w:i/>
          <w:iCs/>
          <w:szCs w:val="28"/>
        </w:rPr>
        <w:t>,</w:t>
      </w:r>
      <w:r w:rsidR="00BD78D6">
        <w:rPr>
          <w:szCs w:val="28"/>
        </w:rPr>
        <w:t xml:space="preserve"> The Times, 24 February 1994, and </w:t>
      </w:r>
      <w:r w:rsidR="00BD78D6">
        <w:rPr>
          <w:i/>
          <w:iCs/>
          <w:szCs w:val="28"/>
        </w:rPr>
        <w:t>Walsh &amp; Etherington v H</w:t>
      </w:r>
      <w:r w:rsidR="00E00F30">
        <w:rPr>
          <w:i/>
          <w:iCs/>
          <w:szCs w:val="28"/>
        </w:rPr>
        <w:t>M</w:t>
      </w:r>
      <w:r w:rsidR="00BD78D6">
        <w:rPr>
          <w:i/>
          <w:iCs/>
          <w:szCs w:val="28"/>
        </w:rPr>
        <w:t xml:space="preserve"> Customs &amp; Excise</w:t>
      </w:r>
      <w:r w:rsidR="00BD78D6">
        <w:rPr>
          <w:szCs w:val="28"/>
        </w:rPr>
        <w:t xml:space="preserve"> [2001] EWHC </w:t>
      </w:r>
      <w:r w:rsidR="00F40F7B">
        <w:rPr>
          <w:szCs w:val="28"/>
        </w:rPr>
        <w:t>(</w:t>
      </w:r>
      <w:r w:rsidR="00BD78D6">
        <w:rPr>
          <w:szCs w:val="28"/>
        </w:rPr>
        <w:t>Admin</w:t>
      </w:r>
      <w:r w:rsidR="00F40F7B">
        <w:rPr>
          <w:szCs w:val="28"/>
        </w:rPr>
        <w:t>)</w:t>
      </w:r>
      <w:r w:rsidR="00BD78D6">
        <w:rPr>
          <w:szCs w:val="28"/>
        </w:rPr>
        <w:t xml:space="preserve"> 426.  She recorded and rejected the submissions made on behalf of the Commissioners</w:t>
      </w:r>
      <w:r w:rsidR="008270F6">
        <w:rPr>
          <w:szCs w:val="28"/>
        </w:rPr>
        <w:t xml:space="preserve">: </w:t>
      </w:r>
      <w:r w:rsidR="00BD78D6">
        <w:rPr>
          <w:szCs w:val="28"/>
        </w:rPr>
        <w:t xml:space="preserve">I shall not set them out at this stage because Mr </w:t>
      </w:r>
      <w:proofErr w:type="spellStart"/>
      <w:r w:rsidR="00BD78D6">
        <w:rPr>
          <w:szCs w:val="28"/>
        </w:rPr>
        <w:t>Rainsbury</w:t>
      </w:r>
      <w:proofErr w:type="spellEnd"/>
      <w:r w:rsidR="00BD78D6">
        <w:rPr>
          <w:szCs w:val="28"/>
        </w:rPr>
        <w:t xml:space="preserve"> made essentially the same submissions to us, and I shall come to them shortly.</w:t>
      </w:r>
      <w:r w:rsidR="00E61D3F">
        <w:rPr>
          <w:szCs w:val="28"/>
        </w:rPr>
        <w:t xml:space="preserve">  The District Judge's conclusion was that once the orders of 3 October had expired on 3 April 2020, the court had no jurisdiction to order continued detention of the seized cash.  The case stated ends by posing this question for the High Court: </w:t>
      </w:r>
    </w:p>
    <w:p w14:paraId="6CB7C731" w14:textId="77777777" w:rsidR="00E61D3F" w:rsidRDefault="00E61D3F" w:rsidP="00830547">
      <w:pPr>
        <w:pStyle w:val="ListParagraph"/>
        <w:jc w:val="both"/>
        <w:rPr>
          <w:szCs w:val="28"/>
        </w:rPr>
      </w:pPr>
    </w:p>
    <w:p w14:paraId="27CF379F" w14:textId="2AED9084" w:rsidR="00FD64CF" w:rsidRDefault="00E61D3F" w:rsidP="00830547">
      <w:pPr>
        <w:pStyle w:val="ListParagraph"/>
        <w:ind w:left="1440" w:right="1353"/>
        <w:jc w:val="both"/>
        <w:rPr>
          <w:szCs w:val="28"/>
        </w:rPr>
      </w:pPr>
      <w:r>
        <w:rPr>
          <w:szCs w:val="28"/>
        </w:rPr>
        <w:t xml:space="preserve">"Was the judge correct to conclude that on a correct construction of s.295(2)(b) of the Proceeds of Crime Act 2002 there was no jurisdiction to extend the periods of detention of two sums of seized cash in </w:t>
      </w:r>
      <w:r>
        <w:rPr>
          <w:szCs w:val="28"/>
        </w:rPr>
        <w:lastRenderedPageBreak/>
        <w:t>circumstances where HM Revenue &amp; Customs had filed applications to extend the periods before the expiration of the previous orders under section 295(2)(a) of the Act, but those orders had expired before the applications were determined</w:t>
      </w:r>
      <w:r w:rsidR="0052200F">
        <w:rPr>
          <w:szCs w:val="28"/>
        </w:rPr>
        <w:t>?"</w:t>
      </w:r>
    </w:p>
    <w:p w14:paraId="15887B4E" w14:textId="2FEF1F53" w:rsidR="00E61D3F" w:rsidRDefault="00E61D3F" w:rsidP="00830547">
      <w:pPr>
        <w:pStyle w:val="ListParagraph"/>
        <w:ind w:left="1440" w:right="1353"/>
        <w:jc w:val="both"/>
        <w:rPr>
          <w:szCs w:val="28"/>
        </w:rPr>
      </w:pPr>
    </w:p>
    <w:p w14:paraId="039191A4" w14:textId="77777777" w:rsidR="00E61D3F" w:rsidRDefault="00E61D3F" w:rsidP="00830547">
      <w:pPr>
        <w:pStyle w:val="ListParagraph"/>
        <w:ind w:left="1440" w:right="1353"/>
        <w:jc w:val="both"/>
        <w:rPr>
          <w:szCs w:val="28"/>
        </w:rPr>
      </w:pPr>
    </w:p>
    <w:p w14:paraId="453E168F" w14:textId="0F2E9046" w:rsidR="00FD64CF" w:rsidRDefault="00E61D3F" w:rsidP="00830547">
      <w:pPr>
        <w:pStyle w:val="ListParagraph"/>
        <w:numPr>
          <w:ilvl w:val="0"/>
          <w:numId w:val="7"/>
        </w:numPr>
        <w:jc w:val="both"/>
        <w:rPr>
          <w:szCs w:val="28"/>
        </w:rPr>
      </w:pPr>
      <w:r>
        <w:rPr>
          <w:szCs w:val="28"/>
        </w:rPr>
        <w:t>It is convenient to set out the relevant sections of the Proceeds of Crime Act 2002.  Section 294(1) provides that:</w:t>
      </w:r>
    </w:p>
    <w:p w14:paraId="086179B7" w14:textId="1E87225F" w:rsidR="00E61D3F" w:rsidRDefault="00E61D3F" w:rsidP="00830547">
      <w:pPr>
        <w:pStyle w:val="ListParagraph"/>
        <w:jc w:val="both"/>
        <w:rPr>
          <w:szCs w:val="28"/>
        </w:rPr>
      </w:pPr>
    </w:p>
    <w:p w14:paraId="34C4A7F8" w14:textId="034B815E" w:rsidR="00E61D3F" w:rsidRDefault="00E61D3F" w:rsidP="00830547">
      <w:pPr>
        <w:pStyle w:val="ListParagraph"/>
        <w:ind w:left="1440" w:right="1353"/>
        <w:jc w:val="both"/>
        <w:rPr>
          <w:szCs w:val="28"/>
        </w:rPr>
      </w:pPr>
      <w:r>
        <w:rPr>
          <w:szCs w:val="28"/>
        </w:rPr>
        <w:t>"</w:t>
      </w:r>
      <w:r w:rsidRPr="00E61D3F">
        <w:rPr>
          <w:szCs w:val="28"/>
        </w:rPr>
        <w:t>An officer of Revenue and Customs</w:t>
      </w:r>
      <w:r w:rsidR="00CB39C0">
        <w:rPr>
          <w:szCs w:val="28"/>
        </w:rPr>
        <w:t xml:space="preserve"> . . .</w:t>
      </w:r>
      <w:r w:rsidRPr="00E61D3F">
        <w:rPr>
          <w:szCs w:val="28"/>
        </w:rPr>
        <w:t> may seize any cash if he has reasonable grounds for suspecting that it is</w:t>
      </w:r>
      <w:r w:rsidR="0052200F">
        <w:rPr>
          <w:szCs w:val="28"/>
        </w:rPr>
        <w:t xml:space="preserve"> – </w:t>
      </w:r>
    </w:p>
    <w:p w14:paraId="0BEBACEF" w14:textId="77777777" w:rsidR="00CB39C0" w:rsidRPr="00E61D3F" w:rsidRDefault="00CB39C0" w:rsidP="00830547">
      <w:pPr>
        <w:pStyle w:val="ListParagraph"/>
        <w:ind w:left="1440" w:right="1353"/>
        <w:jc w:val="both"/>
        <w:rPr>
          <w:szCs w:val="28"/>
        </w:rPr>
      </w:pPr>
    </w:p>
    <w:p w14:paraId="776CA21E" w14:textId="6B5613DB" w:rsidR="00E61D3F" w:rsidRDefault="00E61D3F" w:rsidP="00830547">
      <w:pPr>
        <w:pStyle w:val="ListParagraph"/>
        <w:ind w:left="2700" w:right="1353" w:hanging="540"/>
        <w:jc w:val="both"/>
        <w:rPr>
          <w:szCs w:val="28"/>
        </w:rPr>
      </w:pPr>
      <w:r w:rsidRPr="00E61D3F">
        <w:rPr>
          <w:szCs w:val="28"/>
        </w:rPr>
        <w:t>(a)</w:t>
      </w:r>
      <w:r w:rsidR="00CB39C0">
        <w:rPr>
          <w:szCs w:val="28"/>
        </w:rPr>
        <w:tab/>
      </w:r>
      <w:r w:rsidRPr="00E61D3F">
        <w:rPr>
          <w:szCs w:val="28"/>
        </w:rPr>
        <w:t>recoverable property, or</w:t>
      </w:r>
    </w:p>
    <w:p w14:paraId="604499E4" w14:textId="77777777" w:rsidR="00CB39C0" w:rsidRPr="00E61D3F" w:rsidRDefault="00CB39C0" w:rsidP="00830547">
      <w:pPr>
        <w:pStyle w:val="ListParagraph"/>
        <w:ind w:left="2700" w:right="1353" w:hanging="540"/>
        <w:jc w:val="both"/>
        <w:rPr>
          <w:szCs w:val="28"/>
        </w:rPr>
      </w:pPr>
    </w:p>
    <w:p w14:paraId="1D944E9D" w14:textId="41DF0349" w:rsidR="00E61D3F" w:rsidRPr="00E61D3F" w:rsidRDefault="00E61D3F" w:rsidP="00830547">
      <w:pPr>
        <w:pStyle w:val="ListParagraph"/>
        <w:ind w:left="2700" w:right="1353" w:hanging="540"/>
        <w:jc w:val="both"/>
        <w:rPr>
          <w:szCs w:val="28"/>
        </w:rPr>
      </w:pPr>
      <w:r w:rsidRPr="00E61D3F">
        <w:rPr>
          <w:szCs w:val="28"/>
        </w:rPr>
        <w:t>(b)</w:t>
      </w:r>
      <w:r w:rsidR="00CB39C0">
        <w:rPr>
          <w:szCs w:val="28"/>
        </w:rPr>
        <w:tab/>
      </w:r>
      <w:r w:rsidRPr="00E61D3F">
        <w:rPr>
          <w:szCs w:val="28"/>
        </w:rPr>
        <w:t>intended by any person for use in unlawful conduct.</w:t>
      </w:r>
      <w:r w:rsidR="00CB39C0">
        <w:rPr>
          <w:szCs w:val="28"/>
        </w:rPr>
        <w:t>"</w:t>
      </w:r>
    </w:p>
    <w:p w14:paraId="413E5587" w14:textId="5D989E4C" w:rsidR="00E61D3F" w:rsidRDefault="00E61D3F" w:rsidP="00830547">
      <w:pPr>
        <w:pStyle w:val="ListParagraph"/>
        <w:ind w:left="1440"/>
        <w:jc w:val="both"/>
        <w:rPr>
          <w:szCs w:val="28"/>
        </w:rPr>
      </w:pPr>
    </w:p>
    <w:p w14:paraId="6A5F0766" w14:textId="43B65C17" w:rsidR="00FD64CF" w:rsidRDefault="00CB39C0" w:rsidP="00830547">
      <w:pPr>
        <w:pStyle w:val="ListParagraph"/>
        <w:ind w:left="900"/>
        <w:jc w:val="both"/>
        <w:rPr>
          <w:szCs w:val="28"/>
        </w:rPr>
      </w:pPr>
      <w:r>
        <w:rPr>
          <w:szCs w:val="28"/>
        </w:rPr>
        <w:t>Section 295, headed: "Detention of Seized Cash" includes the following subsections which are material:</w:t>
      </w:r>
    </w:p>
    <w:p w14:paraId="45F7C741" w14:textId="4DA3EDD7" w:rsidR="00CB39C0" w:rsidRDefault="00CB39C0" w:rsidP="00830547">
      <w:pPr>
        <w:pStyle w:val="ListParagraph"/>
        <w:jc w:val="both"/>
        <w:rPr>
          <w:szCs w:val="28"/>
        </w:rPr>
      </w:pPr>
    </w:p>
    <w:p w14:paraId="24E83A28" w14:textId="6F61F8D1" w:rsidR="00CB39C0" w:rsidRDefault="00CB39C0" w:rsidP="00830547">
      <w:pPr>
        <w:pStyle w:val="ListParagraph"/>
        <w:ind w:left="1980" w:right="1353" w:hanging="540"/>
        <w:jc w:val="both"/>
        <w:rPr>
          <w:szCs w:val="28"/>
        </w:rPr>
      </w:pPr>
      <w:r>
        <w:rPr>
          <w:szCs w:val="28"/>
        </w:rPr>
        <w:t>"(1)</w:t>
      </w:r>
      <w:r>
        <w:rPr>
          <w:szCs w:val="28"/>
        </w:rPr>
        <w:tab/>
      </w:r>
      <w:r w:rsidRPr="00CB39C0">
        <w:rPr>
          <w:szCs w:val="28"/>
        </w:rPr>
        <w:t>While the officer of Revenue and Customs</w:t>
      </w:r>
      <w:r>
        <w:rPr>
          <w:szCs w:val="28"/>
        </w:rPr>
        <w:t xml:space="preserve"> . . .</w:t>
      </w:r>
      <w:r w:rsidRPr="00CB39C0">
        <w:rPr>
          <w:szCs w:val="28"/>
        </w:rPr>
        <w:t> continues to have reasonable grounds for his suspicion, cash seized under section 294 may be detained initially for a period of 48 hours.</w:t>
      </w:r>
      <w:r>
        <w:rPr>
          <w:szCs w:val="28"/>
        </w:rPr>
        <w:t>"</w:t>
      </w:r>
    </w:p>
    <w:p w14:paraId="077A478D" w14:textId="79178F36" w:rsidR="00CB39C0" w:rsidRDefault="00CB39C0" w:rsidP="00830547">
      <w:pPr>
        <w:pStyle w:val="ListParagraph"/>
        <w:ind w:left="1980" w:right="1353" w:hanging="540"/>
        <w:jc w:val="both"/>
        <w:rPr>
          <w:szCs w:val="28"/>
        </w:rPr>
      </w:pPr>
    </w:p>
    <w:p w14:paraId="17DE0427" w14:textId="77777777" w:rsidR="00CB39C0" w:rsidRDefault="00CB39C0" w:rsidP="00830547">
      <w:pPr>
        <w:pStyle w:val="ListParagraph"/>
        <w:ind w:left="1980" w:right="1353" w:hanging="540"/>
        <w:jc w:val="both"/>
        <w:rPr>
          <w:szCs w:val="28"/>
        </w:rPr>
      </w:pPr>
    </w:p>
    <w:p w14:paraId="48DC99C5" w14:textId="07AE6335" w:rsidR="00FD64CF" w:rsidRDefault="00CB39C0" w:rsidP="00830547">
      <w:pPr>
        <w:pStyle w:val="ListParagraph"/>
        <w:jc w:val="both"/>
        <w:rPr>
          <w:szCs w:val="28"/>
        </w:rPr>
      </w:pPr>
      <w:r>
        <w:rPr>
          <w:szCs w:val="28"/>
        </w:rPr>
        <w:t>(There are then provisions for how the 48 hours is to be calculated omitting weekends and bank holidays</w:t>
      </w:r>
      <w:r w:rsidR="008270F6">
        <w:rPr>
          <w:szCs w:val="28"/>
        </w:rPr>
        <w:t>,</w:t>
      </w:r>
      <w:r>
        <w:rPr>
          <w:szCs w:val="28"/>
        </w:rPr>
        <w:t xml:space="preserve"> but these do not affect the outcome of the present case.)   Subsection </w:t>
      </w:r>
      <w:r w:rsidR="008270F6">
        <w:rPr>
          <w:szCs w:val="28"/>
        </w:rPr>
        <w:t>(</w:t>
      </w:r>
      <w:r>
        <w:rPr>
          <w:szCs w:val="28"/>
        </w:rPr>
        <w:t>2</w:t>
      </w:r>
      <w:r w:rsidR="008270F6">
        <w:rPr>
          <w:szCs w:val="28"/>
        </w:rPr>
        <w:t xml:space="preserve">) </w:t>
      </w:r>
      <w:r>
        <w:rPr>
          <w:szCs w:val="28"/>
        </w:rPr>
        <w:t xml:space="preserve">is the crucial one in the present case, and provides: </w:t>
      </w:r>
    </w:p>
    <w:p w14:paraId="0EC431A6" w14:textId="17B1576B" w:rsidR="00CB39C0" w:rsidRDefault="00CB39C0" w:rsidP="00830547">
      <w:pPr>
        <w:pStyle w:val="ListParagraph"/>
        <w:jc w:val="both"/>
        <w:rPr>
          <w:szCs w:val="28"/>
        </w:rPr>
      </w:pPr>
    </w:p>
    <w:p w14:paraId="7A32B03C" w14:textId="43F6B2B8" w:rsidR="00CB39C0" w:rsidRDefault="00CB39C0" w:rsidP="00830547">
      <w:pPr>
        <w:pStyle w:val="ListParagraph"/>
        <w:ind w:left="1980" w:right="1440" w:hanging="540"/>
        <w:jc w:val="both"/>
        <w:rPr>
          <w:szCs w:val="28"/>
        </w:rPr>
      </w:pPr>
      <w:r>
        <w:rPr>
          <w:szCs w:val="28"/>
        </w:rPr>
        <w:t>"(2)</w:t>
      </w:r>
      <w:r w:rsidRPr="00CB39C0">
        <w:rPr>
          <w:rFonts w:ascii="Arial" w:hAnsi="Arial" w:cs="Arial"/>
          <w:color w:val="000000"/>
          <w:sz w:val="19"/>
          <w:szCs w:val="19"/>
        </w:rPr>
        <w:t xml:space="preserve"> </w:t>
      </w:r>
      <w:r>
        <w:rPr>
          <w:rFonts w:ascii="Arial" w:hAnsi="Arial" w:cs="Arial"/>
          <w:color w:val="000000"/>
          <w:sz w:val="19"/>
          <w:szCs w:val="19"/>
        </w:rPr>
        <w:tab/>
      </w:r>
      <w:r w:rsidRPr="00CB39C0">
        <w:rPr>
          <w:szCs w:val="28"/>
        </w:rPr>
        <w:t>The period for which the cash or any part of it may be detained may be extended by an order made by a magistrates</w:t>
      </w:r>
      <w:r w:rsidR="00034FD3">
        <w:rPr>
          <w:szCs w:val="28"/>
        </w:rPr>
        <w:t>'</w:t>
      </w:r>
      <w:r w:rsidRPr="00CB39C0">
        <w:rPr>
          <w:szCs w:val="28"/>
        </w:rPr>
        <w:t xml:space="preserve"> court </w:t>
      </w:r>
      <w:r w:rsidR="00034FD3">
        <w:rPr>
          <w:szCs w:val="28"/>
        </w:rPr>
        <w:t xml:space="preserve">. . . </w:t>
      </w:r>
      <w:r w:rsidRPr="00CB39C0">
        <w:rPr>
          <w:szCs w:val="28"/>
        </w:rPr>
        <w:t>but the order may not authorise the detention of any of the cash</w:t>
      </w:r>
      <w:r w:rsidR="0052200F">
        <w:rPr>
          <w:szCs w:val="28"/>
        </w:rPr>
        <w:t xml:space="preserve">– </w:t>
      </w:r>
    </w:p>
    <w:p w14:paraId="52D12D44" w14:textId="77777777" w:rsidR="00034FD3" w:rsidRPr="00CB39C0" w:rsidRDefault="00034FD3" w:rsidP="00830547">
      <w:pPr>
        <w:pStyle w:val="ListParagraph"/>
        <w:ind w:left="1980" w:right="1440" w:hanging="540"/>
        <w:jc w:val="both"/>
        <w:rPr>
          <w:szCs w:val="28"/>
        </w:rPr>
      </w:pPr>
    </w:p>
    <w:p w14:paraId="059FD760" w14:textId="079990F9" w:rsidR="00CB39C0" w:rsidRDefault="00CB39C0" w:rsidP="00830547">
      <w:pPr>
        <w:pStyle w:val="ListParagraph"/>
        <w:ind w:left="2430" w:right="1440" w:hanging="450"/>
        <w:jc w:val="both"/>
        <w:rPr>
          <w:szCs w:val="28"/>
        </w:rPr>
      </w:pPr>
      <w:r w:rsidRPr="00CB39C0">
        <w:rPr>
          <w:szCs w:val="28"/>
        </w:rPr>
        <w:t>(a)</w:t>
      </w:r>
      <w:r w:rsidR="00034FD3">
        <w:rPr>
          <w:szCs w:val="28"/>
        </w:rPr>
        <w:tab/>
      </w:r>
      <w:r w:rsidRPr="00CB39C0">
        <w:rPr>
          <w:szCs w:val="28"/>
        </w:rPr>
        <w:t>beyond the end of the period of six months beginning with the date of the order,</w:t>
      </w:r>
    </w:p>
    <w:p w14:paraId="295B646B" w14:textId="77777777" w:rsidR="00034FD3" w:rsidRPr="00CB39C0" w:rsidRDefault="00034FD3" w:rsidP="00830547">
      <w:pPr>
        <w:pStyle w:val="ListParagraph"/>
        <w:ind w:left="2430" w:right="1440" w:hanging="450"/>
        <w:jc w:val="both"/>
        <w:rPr>
          <w:szCs w:val="28"/>
        </w:rPr>
      </w:pPr>
    </w:p>
    <w:p w14:paraId="60162ECD" w14:textId="32282D0C" w:rsidR="00CB39C0" w:rsidRPr="00CB39C0" w:rsidRDefault="00CB39C0" w:rsidP="00830547">
      <w:pPr>
        <w:pStyle w:val="ListParagraph"/>
        <w:ind w:left="2430" w:right="1440" w:hanging="450"/>
        <w:jc w:val="both"/>
        <w:rPr>
          <w:szCs w:val="28"/>
        </w:rPr>
      </w:pPr>
      <w:r w:rsidRPr="00CB39C0">
        <w:rPr>
          <w:szCs w:val="28"/>
        </w:rPr>
        <w:t>(b)</w:t>
      </w:r>
      <w:r w:rsidR="00034FD3">
        <w:rPr>
          <w:szCs w:val="28"/>
        </w:rPr>
        <w:tab/>
      </w:r>
      <w:r w:rsidRPr="00CB39C0">
        <w:rPr>
          <w:szCs w:val="28"/>
        </w:rPr>
        <w:t>in the case of any further order under this section, beyond the end of the period of two years beginning with the date of the first order.</w:t>
      </w:r>
      <w:r w:rsidR="00034FD3">
        <w:rPr>
          <w:szCs w:val="28"/>
        </w:rPr>
        <w:t>"</w:t>
      </w:r>
    </w:p>
    <w:p w14:paraId="09735A7F" w14:textId="4E0E5FC4" w:rsidR="00CB39C0" w:rsidRDefault="00CB39C0" w:rsidP="00830547">
      <w:pPr>
        <w:pStyle w:val="ListParagraph"/>
        <w:ind w:left="1980" w:hanging="540"/>
        <w:jc w:val="both"/>
        <w:rPr>
          <w:szCs w:val="28"/>
        </w:rPr>
      </w:pPr>
    </w:p>
    <w:p w14:paraId="0C043CE0" w14:textId="240EFD1C" w:rsidR="00FD64CF" w:rsidRDefault="00034FD3" w:rsidP="00830547">
      <w:pPr>
        <w:pStyle w:val="ListParagraph"/>
        <w:jc w:val="both"/>
        <w:rPr>
          <w:szCs w:val="28"/>
        </w:rPr>
      </w:pPr>
      <w:r>
        <w:rPr>
          <w:szCs w:val="28"/>
        </w:rPr>
        <w:t xml:space="preserve">Subsection </w:t>
      </w:r>
      <w:r w:rsidR="008270F6">
        <w:rPr>
          <w:szCs w:val="28"/>
        </w:rPr>
        <w:t>(</w:t>
      </w:r>
      <w:r>
        <w:rPr>
          <w:szCs w:val="28"/>
        </w:rPr>
        <w:t>3</w:t>
      </w:r>
      <w:r w:rsidR="008270F6">
        <w:rPr>
          <w:szCs w:val="28"/>
        </w:rPr>
        <w:t>)</w:t>
      </w:r>
      <w:r>
        <w:rPr>
          <w:szCs w:val="28"/>
        </w:rPr>
        <w:t xml:space="preserve"> provides:</w:t>
      </w:r>
    </w:p>
    <w:p w14:paraId="6502E6EF" w14:textId="3B623D16" w:rsidR="00034FD3" w:rsidRDefault="00034FD3" w:rsidP="00830547">
      <w:pPr>
        <w:pStyle w:val="ListParagraph"/>
        <w:jc w:val="both"/>
        <w:rPr>
          <w:szCs w:val="28"/>
        </w:rPr>
      </w:pPr>
    </w:p>
    <w:p w14:paraId="4181FEBB" w14:textId="05DFAC97" w:rsidR="00034FD3" w:rsidRPr="008270F6" w:rsidRDefault="00034FD3" w:rsidP="00830547">
      <w:pPr>
        <w:pStyle w:val="ListParagraph"/>
        <w:ind w:left="1980" w:right="1440" w:hanging="540"/>
        <w:jc w:val="both"/>
        <w:rPr>
          <w:szCs w:val="28"/>
        </w:rPr>
      </w:pPr>
      <w:r>
        <w:rPr>
          <w:szCs w:val="28"/>
        </w:rPr>
        <w:t>"(3)</w:t>
      </w:r>
      <w:r>
        <w:rPr>
          <w:szCs w:val="28"/>
        </w:rPr>
        <w:tab/>
      </w:r>
      <w:r w:rsidRPr="00034FD3">
        <w:rPr>
          <w:szCs w:val="28"/>
        </w:rPr>
        <w:t>A justice of the peace may also exercise the power of a magistrates</w:t>
      </w:r>
      <w:r>
        <w:rPr>
          <w:szCs w:val="28"/>
        </w:rPr>
        <w:t>'</w:t>
      </w:r>
      <w:r w:rsidRPr="00034FD3">
        <w:rPr>
          <w:szCs w:val="28"/>
        </w:rPr>
        <w:t xml:space="preserve"> court to make the first order under subsection (2) extending the period.</w:t>
      </w:r>
      <w:r>
        <w:rPr>
          <w:szCs w:val="28"/>
        </w:rPr>
        <w:t>"</w:t>
      </w:r>
    </w:p>
    <w:p w14:paraId="4924D6C2" w14:textId="77777777" w:rsidR="00D52DEC" w:rsidRDefault="00D52DEC" w:rsidP="00830547">
      <w:pPr>
        <w:pStyle w:val="ListParagraph"/>
        <w:jc w:val="both"/>
        <w:rPr>
          <w:szCs w:val="28"/>
        </w:rPr>
      </w:pPr>
    </w:p>
    <w:p w14:paraId="2C416C77" w14:textId="6A87ED86" w:rsidR="00FD64CF" w:rsidRDefault="00D52DEC" w:rsidP="00830547">
      <w:pPr>
        <w:pStyle w:val="ListParagraph"/>
        <w:jc w:val="both"/>
        <w:rPr>
          <w:szCs w:val="28"/>
        </w:rPr>
      </w:pPr>
      <w:r>
        <w:rPr>
          <w:szCs w:val="28"/>
        </w:rPr>
        <w:t>The remaining subsections provide that the court may make the order if satisfied that one of two alternative conditions is met.  It is not necessary to recite these since there is no doubt in the present case that there were reasonable grounds for suspecting that the cash was recoverable property whose continued detention was justified.</w:t>
      </w:r>
    </w:p>
    <w:p w14:paraId="7BB00C29" w14:textId="77777777" w:rsidR="00D52DEC" w:rsidRDefault="00D52DEC" w:rsidP="00830547">
      <w:pPr>
        <w:pStyle w:val="ListParagraph"/>
        <w:jc w:val="both"/>
        <w:rPr>
          <w:szCs w:val="28"/>
        </w:rPr>
      </w:pPr>
    </w:p>
    <w:p w14:paraId="546457C7" w14:textId="005D809A" w:rsidR="00FD64CF" w:rsidRDefault="00D52DEC" w:rsidP="00830547">
      <w:pPr>
        <w:pStyle w:val="ListParagraph"/>
        <w:numPr>
          <w:ilvl w:val="0"/>
          <w:numId w:val="7"/>
        </w:numPr>
        <w:jc w:val="both"/>
        <w:rPr>
          <w:szCs w:val="28"/>
        </w:rPr>
      </w:pPr>
      <w:r>
        <w:rPr>
          <w:szCs w:val="28"/>
        </w:rPr>
        <w:t xml:space="preserve">The Magistrates' Court </w:t>
      </w:r>
      <w:r w:rsidR="008270F6">
        <w:rPr>
          <w:szCs w:val="28"/>
        </w:rPr>
        <w:t>(</w:t>
      </w:r>
      <w:r>
        <w:rPr>
          <w:szCs w:val="28"/>
        </w:rPr>
        <w:t>Detention and Forfeiture of Cash</w:t>
      </w:r>
      <w:r w:rsidR="008270F6">
        <w:rPr>
          <w:szCs w:val="28"/>
        </w:rPr>
        <w:t>)</w:t>
      </w:r>
      <w:r>
        <w:rPr>
          <w:szCs w:val="28"/>
        </w:rPr>
        <w:t xml:space="preserve"> Rules 2002 make provision in r.5 for "Further applications for the continued detention of seized cash".  Rule 5(1) provides for the form in which the application must be made.  Rule 5(3) states:</w:t>
      </w:r>
    </w:p>
    <w:p w14:paraId="10810C4A" w14:textId="41C137AB" w:rsidR="00D52DEC" w:rsidRDefault="00D52DEC" w:rsidP="00830547">
      <w:pPr>
        <w:pStyle w:val="ListParagraph"/>
        <w:jc w:val="both"/>
        <w:rPr>
          <w:szCs w:val="28"/>
        </w:rPr>
      </w:pPr>
    </w:p>
    <w:p w14:paraId="2C816B39" w14:textId="1319CD2B" w:rsidR="00D52DEC" w:rsidRDefault="00D52DEC" w:rsidP="00830547">
      <w:pPr>
        <w:pStyle w:val="ListParagraph"/>
        <w:ind w:left="1440" w:right="1440"/>
        <w:jc w:val="both"/>
        <w:rPr>
          <w:szCs w:val="28"/>
        </w:rPr>
      </w:pPr>
      <w:r>
        <w:rPr>
          <w:szCs w:val="28"/>
        </w:rPr>
        <w:t>"</w:t>
      </w:r>
      <w:r w:rsidR="00431234" w:rsidRPr="00431234">
        <w:rPr>
          <w:szCs w:val="28"/>
        </w:rPr>
        <w:t xml:space="preserve">The </w:t>
      </w:r>
      <w:r w:rsidR="00431234">
        <w:rPr>
          <w:szCs w:val="28"/>
        </w:rPr>
        <w:t xml:space="preserve">court </w:t>
      </w:r>
      <w:r w:rsidR="00431234" w:rsidRPr="00431234">
        <w:rPr>
          <w:szCs w:val="28"/>
        </w:rPr>
        <w:t>shall fix a date for the hearing of the application, which, unless direct</w:t>
      </w:r>
      <w:r w:rsidR="00431234">
        <w:rPr>
          <w:szCs w:val="28"/>
        </w:rPr>
        <w:t>ed</w:t>
      </w:r>
      <w:r w:rsidR="00431234" w:rsidRPr="00431234">
        <w:rPr>
          <w:szCs w:val="28"/>
        </w:rPr>
        <w:t xml:space="preserve"> otherwise, shall not be earlier than seven days from the date on which it is fixed, and the </w:t>
      </w:r>
      <w:r w:rsidR="00431234">
        <w:rPr>
          <w:szCs w:val="28"/>
        </w:rPr>
        <w:t xml:space="preserve">court </w:t>
      </w:r>
      <w:r w:rsidR="00431234" w:rsidRPr="00431234">
        <w:rPr>
          <w:szCs w:val="28"/>
        </w:rPr>
        <w:t>shall notify that date to the applicant and every person to whom notice of the previous orders has been given.</w:t>
      </w:r>
      <w:r w:rsidR="00431234">
        <w:rPr>
          <w:szCs w:val="28"/>
        </w:rPr>
        <w:t>"</w:t>
      </w:r>
    </w:p>
    <w:p w14:paraId="5FE0B5C6" w14:textId="6450D928" w:rsidR="00431234" w:rsidRDefault="00431234" w:rsidP="00830547">
      <w:pPr>
        <w:pStyle w:val="ListParagraph"/>
        <w:ind w:left="1440"/>
        <w:jc w:val="both"/>
        <w:rPr>
          <w:szCs w:val="28"/>
        </w:rPr>
      </w:pPr>
    </w:p>
    <w:p w14:paraId="0CA7ADAD" w14:textId="77777777" w:rsidR="002E1726" w:rsidRDefault="002E1726" w:rsidP="00830547">
      <w:pPr>
        <w:pStyle w:val="ListParagraph"/>
        <w:ind w:left="1440"/>
        <w:jc w:val="both"/>
        <w:rPr>
          <w:szCs w:val="28"/>
        </w:rPr>
      </w:pPr>
    </w:p>
    <w:p w14:paraId="21169CD1" w14:textId="6A42A494" w:rsidR="00431234" w:rsidRPr="002E1726" w:rsidRDefault="00431234" w:rsidP="00830547">
      <w:pPr>
        <w:pStyle w:val="ListParagraph"/>
        <w:numPr>
          <w:ilvl w:val="0"/>
          <w:numId w:val="7"/>
        </w:numPr>
        <w:jc w:val="both"/>
        <w:rPr>
          <w:szCs w:val="28"/>
        </w:rPr>
      </w:pPr>
      <w:r>
        <w:rPr>
          <w:szCs w:val="28"/>
        </w:rPr>
        <w:t xml:space="preserve">It is to be noted that no procedural requirements are imposed for the initial application under s.295(3) of the Act, which allows a single Justice of the Peace to make the first order for a </w:t>
      </w:r>
      <w:proofErr w:type="gramStart"/>
      <w:r>
        <w:rPr>
          <w:szCs w:val="28"/>
        </w:rPr>
        <w:t>six month</w:t>
      </w:r>
      <w:proofErr w:type="gramEnd"/>
      <w:r>
        <w:rPr>
          <w:szCs w:val="28"/>
        </w:rPr>
        <w:t xml:space="preserve"> extension beyond the 48 hour period provided for by s.295(1), but does not apply to any further extension after that.  </w:t>
      </w:r>
      <w:r w:rsidRPr="002E1726">
        <w:rPr>
          <w:szCs w:val="28"/>
        </w:rPr>
        <w:t>Section 297 deals with the release of detained cash</w:t>
      </w:r>
      <w:r w:rsidR="008270F6">
        <w:rPr>
          <w:szCs w:val="28"/>
        </w:rPr>
        <w:t xml:space="preserve">: </w:t>
      </w:r>
      <w:r w:rsidRPr="002E1726">
        <w:rPr>
          <w:szCs w:val="28"/>
        </w:rPr>
        <w:t>subsection (2) states that:</w:t>
      </w:r>
    </w:p>
    <w:p w14:paraId="1262D27D" w14:textId="77777777" w:rsidR="00431234" w:rsidRDefault="00431234" w:rsidP="00830547">
      <w:pPr>
        <w:pStyle w:val="ListParagraph"/>
        <w:jc w:val="both"/>
        <w:rPr>
          <w:szCs w:val="28"/>
        </w:rPr>
      </w:pPr>
    </w:p>
    <w:p w14:paraId="523E6A6F" w14:textId="7DEC2C6F" w:rsidR="00FD64CF" w:rsidRDefault="00431234" w:rsidP="00830547">
      <w:pPr>
        <w:pStyle w:val="ListParagraph"/>
        <w:ind w:left="1440" w:right="1440"/>
        <w:jc w:val="both"/>
        <w:rPr>
          <w:szCs w:val="28"/>
        </w:rPr>
      </w:pPr>
      <w:r>
        <w:rPr>
          <w:szCs w:val="28"/>
        </w:rPr>
        <w:t>"A</w:t>
      </w:r>
      <w:r w:rsidRPr="00431234">
        <w:rPr>
          <w:szCs w:val="28"/>
        </w:rPr>
        <w:t xml:space="preserve"> magistrates</w:t>
      </w:r>
      <w:r>
        <w:rPr>
          <w:szCs w:val="28"/>
        </w:rPr>
        <w:t>'</w:t>
      </w:r>
      <w:r w:rsidRPr="00431234">
        <w:rPr>
          <w:szCs w:val="28"/>
        </w:rPr>
        <w:t xml:space="preserve"> court may direct the release of the whole or any part of the cash if the following condition is met.</w:t>
      </w:r>
      <w:r w:rsidR="007D5CBC">
        <w:rPr>
          <w:szCs w:val="28"/>
        </w:rPr>
        <w:t>"</w:t>
      </w:r>
    </w:p>
    <w:p w14:paraId="1284CAB3" w14:textId="77777777" w:rsidR="00431234" w:rsidRDefault="00431234" w:rsidP="00830547">
      <w:pPr>
        <w:pStyle w:val="ListParagraph"/>
        <w:ind w:left="1440"/>
        <w:jc w:val="both"/>
        <w:rPr>
          <w:szCs w:val="28"/>
        </w:rPr>
      </w:pPr>
    </w:p>
    <w:p w14:paraId="05D776C0" w14:textId="33841BC9" w:rsidR="0073513B" w:rsidRDefault="00431234" w:rsidP="00830547">
      <w:pPr>
        <w:pStyle w:val="ListParagraph"/>
        <w:jc w:val="both"/>
        <w:rPr>
          <w:szCs w:val="28"/>
        </w:rPr>
      </w:pPr>
      <w:r>
        <w:rPr>
          <w:szCs w:val="28"/>
        </w:rPr>
        <w:t>Subsection (3) states</w:t>
      </w:r>
      <w:r w:rsidR="002E1726">
        <w:rPr>
          <w:szCs w:val="28"/>
        </w:rPr>
        <w:t xml:space="preserve"> that</w:t>
      </w:r>
      <w:r>
        <w:rPr>
          <w:szCs w:val="28"/>
        </w:rPr>
        <w:t>:</w:t>
      </w:r>
    </w:p>
    <w:p w14:paraId="53775CF7" w14:textId="77777777" w:rsidR="0073513B" w:rsidRDefault="0073513B" w:rsidP="00830547">
      <w:pPr>
        <w:pStyle w:val="ListParagraph"/>
        <w:jc w:val="both"/>
        <w:rPr>
          <w:szCs w:val="28"/>
        </w:rPr>
      </w:pPr>
    </w:p>
    <w:p w14:paraId="5735CA18" w14:textId="5C824FFE" w:rsidR="00FD64CF" w:rsidRDefault="0073513B" w:rsidP="00830547">
      <w:pPr>
        <w:pStyle w:val="ListParagraph"/>
        <w:ind w:left="1440" w:right="1440"/>
        <w:jc w:val="both"/>
        <w:rPr>
          <w:szCs w:val="28"/>
        </w:rPr>
      </w:pPr>
      <w:r>
        <w:rPr>
          <w:szCs w:val="28"/>
        </w:rPr>
        <w:t>"(3)</w:t>
      </w:r>
      <w:r w:rsidR="00431234">
        <w:rPr>
          <w:szCs w:val="28"/>
        </w:rPr>
        <w:t xml:space="preserve">  </w:t>
      </w:r>
      <w:r w:rsidRPr="0073513B">
        <w:rPr>
          <w:szCs w:val="28"/>
        </w:rPr>
        <w:t>The condition is that the court or sheriff is satisfied, on an application by the person from whom the cash was seized, that the conditions in section 295 for the detention of the cash are no longer met in relation to the cash to be released.</w:t>
      </w:r>
      <w:r w:rsidR="007D5CBC">
        <w:rPr>
          <w:szCs w:val="28"/>
        </w:rPr>
        <w:t>"</w:t>
      </w:r>
    </w:p>
    <w:p w14:paraId="0E43BD7C" w14:textId="77777777" w:rsidR="002E1726" w:rsidRDefault="002E1726" w:rsidP="00830547">
      <w:pPr>
        <w:pStyle w:val="ListParagraph"/>
        <w:ind w:left="1440" w:right="1440"/>
        <w:jc w:val="both"/>
        <w:rPr>
          <w:szCs w:val="28"/>
        </w:rPr>
      </w:pPr>
    </w:p>
    <w:p w14:paraId="372A87FE" w14:textId="77777777" w:rsidR="0073513B" w:rsidRDefault="0073513B" w:rsidP="00830547">
      <w:pPr>
        <w:pStyle w:val="ListParagraph"/>
        <w:ind w:left="1440"/>
        <w:jc w:val="both"/>
        <w:rPr>
          <w:szCs w:val="28"/>
        </w:rPr>
      </w:pPr>
    </w:p>
    <w:p w14:paraId="2D5DC737" w14:textId="1EE47C19" w:rsidR="00431234" w:rsidRDefault="0073513B" w:rsidP="00830547">
      <w:pPr>
        <w:pStyle w:val="ListParagraph"/>
        <w:numPr>
          <w:ilvl w:val="0"/>
          <w:numId w:val="7"/>
        </w:numPr>
        <w:jc w:val="both"/>
        <w:rPr>
          <w:szCs w:val="28"/>
        </w:rPr>
      </w:pPr>
      <w:r>
        <w:rPr>
          <w:szCs w:val="28"/>
        </w:rPr>
        <w:t xml:space="preserve">The 2002 Act, as originally </w:t>
      </w:r>
      <w:r w:rsidR="008270F6">
        <w:rPr>
          <w:szCs w:val="28"/>
        </w:rPr>
        <w:t>enact</w:t>
      </w:r>
      <w:r>
        <w:rPr>
          <w:szCs w:val="28"/>
        </w:rPr>
        <w:t>ed, provided for forfeiture of cash to be the subject of an application to the court for an order for forfeiture.  An alternative of forfeiture by notice is now available</w:t>
      </w:r>
      <w:r w:rsidR="002D5D57">
        <w:rPr>
          <w:szCs w:val="28"/>
        </w:rPr>
        <w:t>,</w:t>
      </w:r>
      <w:r>
        <w:rPr>
          <w:szCs w:val="28"/>
        </w:rPr>
        <w:t xml:space="preserve"> governed by sections 297A to G, which were inserted by the Police and Crime Act 2009</w:t>
      </w:r>
      <w:r w:rsidR="002D5D57">
        <w:rPr>
          <w:szCs w:val="28"/>
        </w:rPr>
        <w:t xml:space="preserve"> (</w:t>
      </w:r>
      <w:r>
        <w:rPr>
          <w:szCs w:val="28"/>
        </w:rPr>
        <w:t>although, as I understand it, they did not come into effect until 2015</w:t>
      </w:r>
      <w:r w:rsidR="002D5D57">
        <w:rPr>
          <w:szCs w:val="28"/>
        </w:rPr>
        <w:t>)</w:t>
      </w:r>
      <w:r>
        <w:rPr>
          <w:szCs w:val="28"/>
        </w:rPr>
        <w:t xml:space="preserve">.  I will start with </w:t>
      </w:r>
      <w:r w:rsidR="007D5CBC">
        <w:rPr>
          <w:szCs w:val="28"/>
        </w:rPr>
        <w:t>s.</w:t>
      </w:r>
      <w:r>
        <w:rPr>
          <w:szCs w:val="28"/>
        </w:rPr>
        <w:t>298.  This provides that while cash is detained under, among other powers, s.295</w:t>
      </w:r>
      <w:r w:rsidR="007D5CBC">
        <w:rPr>
          <w:szCs w:val="28"/>
        </w:rPr>
        <w:t xml:space="preserve">, an application for the forfeiture for the whole or any part of it may be made to a </w:t>
      </w:r>
      <w:r w:rsidR="002D5D57">
        <w:rPr>
          <w:szCs w:val="28"/>
        </w:rPr>
        <w:t>m</w:t>
      </w:r>
      <w:r w:rsidR="007D5CBC">
        <w:rPr>
          <w:szCs w:val="28"/>
        </w:rPr>
        <w:t xml:space="preserve">agistrates' </w:t>
      </w:r>
      <w:r w:rsidR="002D5D57">
        <w:rPr>
          <w:szCs w:val="28"/>
        </w:rPr>
        <w:t>c</w:t>
      </w:r>
      <w:r w:rsidR="007D5CBC">
        <w:rPr>
          <w:szCs w:val="28"/>
        </w:rPr>
        <w:t>ourt.  The court may order forfeiture of the cash, or any part of it, if satisfied that it is recoverable property or is intended by any person for use in unlawful conduct. Section 298(4) reads:</w:t>
      </w:r>
    </w:p>
    <w:p w14:paraId="52EB2F55" w14:textId="2383A6B9" w:rsidR="007D5CBC" w:rsidRDefault="007D5CBC" w:rsidP="00830547">
      <w:pPr>
        <w:pStyle w:val="ListParagraph"/>
        <w:jc w:val="both"/>
        <w:rPr>
          <w:szCs w:val="28"/>
        </w:rPr>
      </w:pPr>
    </w:p>
    <w:p w14:paraId="689C6111" w14:textId="336D05BB" w:rsidR="007D5CBC" w:rsidRDefault="007D5CBC" w:rsidP="00830547">
      <w:pPr>
        <w:pStyle w:val="ListParagraph"/>
        <w:ind w:left="1980" w:right="1440" w:hanging="540"/>
        <w:jc w:val="both"/>
        <w:rPr>
          <w:szCs w:val="28"/>
        </w:rPr>
      </w:pPr>
      <w:r>
        <w:rPr>
          <w:szCs w:val="28"/>
        </w:rPr>
        <w:t xml:space="preserve">"(4)  </w:t>
      </w:r>
      <w:r w:rsidRPr="007D5CBC">
        <w:rPr>
          <w:szCs w:val="28"/>
        </w:rPr>
        <w:t>Where an application for the forfeiture of any cash is made under this section, the cash is to be detained (and may not be released under any power conferred by this Chapter) until any proceedings in pursuance of the application (including any proceedings on appeal) are concluded.</w:t>
      </w:r>
      <w:r>
        <w:rPr>
          <w:szCs w:val="28"/>
        </w:rPr>
        <w:t>"</w:t>
      </w:r>
    </w:p>
    <w:p w14:paraId="7881A9F3" w14:textId="5DEF4EA8" w:rsidR="007D5CBC" w:rsidRDefault="007D5CBC" w:rsidP="00830547">
      <w:pPr>
        <w:pStyle w:val="ListParagraph"/>
        <w:ind w:left="1980" w:right="1440" w:hanging="540"/>
        <w:jc w:val="both"/>
        <w:rPr>
          <w:szCs w:val="28"/>
        </w:rPr>
      </w:pPr>
    </w:p>
    <w:p w14:paraId="40A97DD7" w14:textId="77777777" w:rsidR="007D5CBC" w:rsidRDefault="007D5CBC" w:rsidP="00830547">
      <w:pPr>
        <w:pStyle w:val="ListParagraph"/>
        <w:ind w:left="1980" w:right="1440" w:hanging="540"/>
        <w:jc w:val="both"/>
        <w:rPr>
          <w:szCs w:val="28"/>
        </w:rPr>
      </w:pPr>
    </w:p>
    <w:p w14:paraId="66AB7E1B" w14:textId="1EAFB1C0" w:rsidR="00431234" w:rsidRDefault="007D5CBC" w:rsidP="00830547">
      <w:pPr>
        <w:pStyle w:val="ListParagraph"/>
        <w:numPr>
          <w:ilvl w:val="0"/>
          <w:numId w:val="7"/>
        </w:numPr>
        <w:jc w:val="both"/>
        <w:rPr>
          <w:szCs w:val="28"/>
        </w:rPr>
      </w:pPr>
      <w:r>
        <w:rPr>
          <w:szCs w:val="28"/>
        </w:rPr>
        <w:t>Turning to the alternative procedure of forfeiture by notice, s.297A(1) states that:</w:t>
      </w:r>
    </w:p>
    <w:p w14:paraId="5542CC98" w14:textId="7EAFC5BF" w:rsidR="007D5CBC" w:rsidRDefault="007D5CBC" w:rsidP="00830547">
      <w:pPr>
        <w:pStyle w:val="ListParagraph"/>
        <w:jc w:val="both"/>
        <w:rPr>
          <w:szCs w:val="28"/>
        </w:rPr>
      </w:pPr>
    </w:p>
    <w:p w14:paraId="38422B1F" w14:textId="6B823B07" w:rsidR="007D5CBC" w:rsidRDefault="007D5CBC" w:rsidP="00830547">
      <w:pPr>
        <w:pStyle w:val="ListParagraph"/>
        <w:ind w:left="1440" w:right="1440"/>
        <w:jc w:val="both"/>
        <w:rPr>
          <w:szCs w:val="28"/>
        </w:rPr>
      </w:pPr>
      <w:r>
        <w:rPr>
          <w:szCs w:val="28"/>
        </w:rPr>
        <w:t>"S</w:t>
      </w:r>
      <w:r w:rsidR="00B31D47">
        <w:rPr>
          <w:szCs w:val="28"/>
        </w:rPr>
        <w:t>ubsection (2)</w:t>
      </w:r>
      <w:r w:rsidR="00B31D47" w:rsidRPr="00B31D47">
        <w:rPr>
          <w:szCs w:val="28"/>
        </w:rPr>
        <w:t xml:space="preserve"> applies while any cash is detained in pursuance of an order under section 295(2) made by a magistrates' court in England and Wales or Northern Ireland.</w:t>
      </w:r>
      <w:r w:rsidR="00B31D47">
        <w:rPr>
          <w:szCs w:val="28"/>
        </w:rPr>
        <w:t>"</w:t>
      </w:r>
    </w:p>
    <w:p w14:paraId="7E1F7D8A" w14:textId="19201D08" w:rsidR="00B31D47" w:rsidRDefault="00B31D47" w:rsidP="00830547">
      <w:pPr>
        <w:pStyle w:val="ListParagraph"/>
        <w:ind w:left="1440" w:right="1440"/>
        <w:jc w:val="both"/>
        <w:rPr>
          <w:szCs w:val="28"/>
        </w:rPr>
      </w:pPr>
    </w:p>
    <w:p w14:paraId="0006862A" w14:textId="77777777" w:rsidR="00B31D47" w:rsidRDefault="00B31D47" w:rsidP="00830547">
      <w:pPr>
        <w:pStyle w:val="ListParagraph"/>
        <w:ind w:left="1440" w:right="1440"/>
        <w:jc w:val="both"/>
        <w:rPr>
          <w:szCs w:val="28"/>
        </w:rPr>
      </w:pPr>
    </w:p>
    <w:p w14:paraId="40079272" w14:textId="3D65FFF0" w:rsidR="00431234" w:rsidRDefault="00B31D47" w:rsidP="00830547">
      <w:pPr>
        <w:pStyle w:val="ListParagraph"/>
        <w:jc w:val="both"/>
        <w:rPr>
          <w:szCs w:val="28"/>
        </w:rPr>
      </w:pPr>
      <w:r>
        <w:rPr>
          <w:szCs w:val="28"/>
        </w:rPr>
        <w:t>Section 297A(2) allows a senior officer to give a notice for the purpose of forfeiting the cash. Section 297C states:</w:t>
      </w:r>
    </w:p>
    <w:p w14:paraId="0D186844" w14:textId="7C64B684" w:rsidR="00B31D47" w:rsidRDefault="00B31D47" w:rsidP="00830547">
      <w:pPr>
        <w:pStyle w:val="ListParagraph"/>
        <w:jc w:val="both"/>
        <w:rPr>
          <w:szCs w:val="28"/>
        </w:rPr>
      </w:pPr>
    </w:p>
    <w:p w14:paraId="3EBAE089" w14:textId="2BE09D72" w:rsidR="00B31D47" w:rsidRDefault="00B31D47" w:rsidP="00830547">
      <w:pPr>
        <w:pStyle w:val="ListParagraph"/>
        <w:ind w:left="1980" w:right="1440" w:hanging="630"/>
        <w:jc w:val="both"/>
        <w:rPr>
          <w:szCs w:val="28"/>
        </w:rPr>
      </w:pPr>
      <w:r>
        <w:rPr>
          <w:szCs w:val="28"/>
        </w:rPr>
        <w:lastRenderedPageBreak/>
        <w:t>"(1)</w:t>
      </w:r>
      <w:r>
        <w:rPr>
          <w:szCs w:val="28"/>
        </w:rPr>
        <w:tab/>
        <w:t>This section applies if a forfeiture notice is given in respect of any cash.</w:t>
      </w:r>
    </w:p>
    <w:p w14:paraId="6304EAC4" w14:textId="77777777" w:rsidR="00B31D47" w:rsidRDefault="00B31D47" w:rsidP="00830547">
      <w:pPr>
        <w:pStyle w:val="ListParagraph"/>
        <w:ind w:left="1980" w:right="1440" w:hanging="630"/>
        <w:jc w:val="both"/>
        <w:rPr>
          <w:szCs w:val="28"/>
        </w:rPr>
      </w:pPr>
    </w:p>
    <w:p w14:paraId="47AF6658" w14:textId="0DC2D1BF" w:rsidR="00B31D47" w:rsidRDefault="00B31D47" w:rsidP="00830547">
      <w:pPr>
        <w:pStyle w:val="ListParagraph"/>
        <w:ind w:left="1980" w:right="1440" w:hanging="540"/>
        <w:jc w:val="both"/>
        <w:rPr>
          <w:szCs w:val="28"/>
        </w:rPr>
      </w:pPr>
      <w:r>
        <w:rPr>
          <w:szCs w:val="28"/>
        </w:rPr>
        <w:t>(2)</w:t>
      </w:r>
      <w:r>
        <w:rPr>
          <w:szCs w:val="28"/>
        </w:rPr>
        <w:tab/>
      </w:r>
      <w:r w:rsidRPr="00B31D47">
        <w:rPr>
          <w:szCs w:val="28"/>
        </w:rPr>
        <w:t>The cash is to be detained until</w:t>
      </w:r>
      <w:r w:rsidR="00C6167B">
        <w:rPr>
          <w:szCs w:val="28"/>
        </w:rPr>
        <w:t>–</w:t>
      </w:r>
    </w:p>
    <w:p w14:paraId="34000097" w14:textId="77777777" w:rsidR="00B31D47" w:rsidRPr="00B31D47" w:rsidRDefault="00B31D47" w:rsidP="00830547">
      <w:pPr>
        <w:pStyle w:val="ListParagraph"/>
        <w:ind w:left="1980" w:right="1440" w:hanging="540"/>
        <w:jc w:val="both"/>
        <w:rPr>
          <w:szCs w:val="28"/>
        </w:rPr>
      </w:pPr>
    </w:p>
    <w:p w14:paraId="2EF62944" w14:textId="7F23785E" w:rsidR="00B31D47" w:rsidRDefault="00B31D47" w:rsidP="00830547">
      <w:pPr>
        <w:pStyle w:val="ListParagraph"/>
        <w:ind w:left="2340" w:right="1440" w:hanging="360"/>
        <w:jc w:val="both"/>
        <w:rPr>
          <w:szCs w:val="28"/>
        </w:rPr>
      </w:pPr>
      <w:r w:rsidRPr="00B31D47">
        <w:rPr>
          <w:szCs w:val="28"/>
        </w:rPr>
        <w:t>(a)</w:t>
      </w:r>
      <w:r>
        <w:rPr>
          <w:szCs w:val="28"/>
        </w:rPr>
        <w:tab/>
      </w:r>
      <w:r w:rsidRPr="00B31D47">
        <w:rPr>
          <w:szCs w:val="28"/>
        </w:rPr>
        <w:t>the cash is forfeited under this section,</w:t>
      </w:r>
    </w:p>
    <w:p w14:paraId="0ECDB459" w14:textId="77777777" w:rsidR="00B31D47" w:rsidRPr="00B31D47" w:rsidRDefault="00B31D47" w:rsidP="00830547">
      <w:pPr>
        <w:pStyle w:val="ListParagraph"/>
        <w:ind w:left="2340" w:right="1440" w:hanging="360"/>
        <w:jc w:val="both"/>
        <w:rPr>
          <w:szCs w:val="28"/>
        </w:rPr>
      </w:pPr>
    </w:p>
    <w:p w14:paraId="3499F3BD" w14:textId="753579E5" w:rsidR="00B31D47" w:rsidRDefault="00B31D47" w:rsidP="00830547">
      <w:pPr>
        <w:pStyle w:val="ListParagraph"/>
        <w:ind w:left="2340" w:right="1440" w:hanging="360"/>
        <w:jc w:val="both"/>
        <w:rPr>
          <w:szCs w:val="28"/>
        </w:rPr>
      </w:pPr>
      <w:r w:rsidRPr="00B31D47">
        <w:rPr>
          <w:szCs w:val="28"/>
        </w:rPr>
        <w:t>(b)</w:t>
      </w:r>
      <w:r>
        <w:rPr>
          <w:szCs w:val="28"/>
        </w:rPr>
        <w:tab/>
      </w:r>
      <w:r w:rsidRPr="00B31D47">
        <w:rPr>
          <w:szCs w:val="28"/>
        </w:rPr>
        <w:t>the notice lapses under this section, or</w:t>
      </w:r>
    </w:p>
    <w:p w14:paraId="1F923636" w14:textId="77777777" w:rsidR="00B31D47" w:rsidRPr="00B31D47" w:rsidRDefault="00B31D47" w:rsidP="00830547">
      <w:pPr>
        <w:pStyle w:val="ListParagraph"/>
        <w:ind w:left="2340" w:right="1440" w:hanging="360"/>
        <w:jc w:val="both"/>
        <w:rPr>
          <w:szCs w:val="28"/>
        </w:rPr>
      </w:pPr>
    </w:p>
    <w:p w14:paraId="112871EE" w14:textId="47367E5F" w:rsidR="00B31D47" w:rsidRDefault="00B31D47" w:rsidP="00830547">
      <w:pPr>
        <w:pStyle w:val="ListParagraph"/>
        <w:ind w:left="2340" w:right="1440" w:hanging="360"/>
        <w:jc w:val="both"/>
        <w:rPr>
          <w:szCs w:val="28"/>
        </w:rPr>
      </w:pPr>
      <w:r w:rsidRPr="00B31D47">
        <w:rPr>
          <w:szCs w:val="28"/>
        </w:rPr>
        <w:t>(c)</w:t>
      </w:r>
      <w:r>
        <w:rPr>
          <w:szCs w:val="28"/>
        </w:rPr>
        <w:tab/>
      </w:r>
      <w:r w:rsidRPr="00B31D47">
        <w:rPr>
          <w:szCs w:val="28"/>
        </w:rPr>
        <w:t>the cash is released under a power conferred by this Chapter.</w:t>
      </w:r>
    </w:p>
    <w:p w14:paraId="109AEAAA" w14:textId="77777777" w:rsidR="00B31D47" w:rsidRPr="00B31D47" w:rsidRDefault="00B31D47" w:rsidP="00830547">
      <w:pPr>
        <w:pStyle w:val="ListParagraph"/>
        <w:ind w:left="2340" w:right="1440" w:hanging="360"/>
        <w:jc w:val="both"/>
        <w:rPr>
          <w:szCs w:val="28"/>
        </w:rPr>
      </w:pPr>
    </w:p>
    <w:p w14:paraId="57A769E3" w14:textId="222941AB" w:rsidR="00B31D47" w:rsidRDefault="00B31D47" w:rsidP="00830547">
      <w:pPr>
        <w:pStyle w:val="ListParagraph"/>
        <w:ind w:left="1980" w:right="1440" w:hanging="540"/>
        <w:jc w:val="both"/>
        <w:rPr>
          <w:szCs w:val="28"/>
        </w:rPr>
      </w:pPr>
      <w:r w:rsidRPr="00B31D47">
        <w:rPr>
          <w:szCs w:val="28"/>
        </w:rPr>
        <w:t>(3)</w:t>
      </w:r>
      <w:r>
        <w:rPr>
          <w:szCs w:val="28"/>
        </w:rPr>
        <w:tab/>
      </w:r>
      <w:r w:rsidRPr="00B31D47">
        <w:rPr>
          <w:szCs w:val="28"/>
        </w:rPr>
        <w:t>If no objection is made within the period for objecting, and the notice has not lapsed, the cash is forfeited (subject to section 297E).</w:t>
      </w:r>
    </w:p>
    <w:p w14:paraId="23C902A8" w14:textId="7177B015" w:rsidR="00B31D47" w:rsidRDefault="00B31D47" w:rsidP="00830547">
      <w:pPr>
        <w:pStyle w:val="ListParagraph"/>
        <w:ind w:left="1980" w:right="1440" w:hanging="540"/>
        <w:jc w:val="both"/>
        <w:rPr>
          <w:szCs w:val="28"/>
        </w:rPr>
      </w:pPr>
    </w:p>
    <w:p w14:paraId="570CF922" w14:textId="47F89B8B" w:rsidR="00B31D47" w:rsidRDefault="00B31D47" w:rsidP="00830547">
      <w:pPr>
        <w:pStyle w:val="ListParagraph"/>
        <w:ind w:left="1980" w:right="1440" w:hanging="540"/>
        <w:jc w:val="both"/>
        <w:rPr>
          <w:szCs w:val="28"/>
        </w:rPr>
      </w:pPr>
      <w:r>
        <w:rPr>
          <w:szCs w:val="28"/>
        </w:rPr>
        <w:t>(4)</w:t>
      </w:r>
      <w:r>
        <w:rPr>
          <w:szCs w:val="28"/>
        </w:rPr>
        <w:tab/>
      </w:r>
      <w:r w:rsidRPr="00B31D47">
        <w:rPr>
          <w:szCs w:val="28"/>
        </w:rPr>
        <w:t>If an objection is made within the period for objecting, the notice lapses.</w:t>
      </w:r>
    </w:p>
    <w:p w14:paraId="2773F086" w14:textId="77777777" w:rsidR="00B31D47" w:rsidRPr="00B31D47" w:rsidRDefault="00B31D47" w:rsidP="00830547">
      <w:pPr>
        <w:pStyle w:val="ListParagraph"/>
        <w:ind w:left="1980" w:right="1440" w:hanging="540"/>
        <w:jc w:val="both"/>
        <w:rPr>
          <w:szCs w:val="28"/>
        </w:rPr>
      </w:pPr>
    </w:p>
    <w:p w14:paraId="27BE8397" w14:textId="7AA72609" w:rsidR="00B31D47" w:rsidRDefault="00B31D47" w:rsidP="00830547">
      <w:pPr>
        <w:pStyle w:val="ListParagraph"/>
        <w:ind w:left="1980" w:right="1440" w:hanging="540"/>
        <w:jc w:val="both"/>
        <w:rPr>
          <w:szCs w:val="28"/>
        </w:rPr>
      </w:pPr>
      <w:r w:rsidRPr="00B31D47">
        <w:rPr>
          <w:szCs w:val="28"/>
        </w:rPr>
        <w:t>(5)</w:t>
      </w:r>
      <w:r>
        <w:rPr>
          <w:szCs w:val="28"/>
        </w:rPr>
        <w:tab/>
      </w:r>
      <w:r w:rsidRPr="00B31D47">
        <w:rPr>
          <w:szCs w:val="28"/>
        </w:rPr>
        <w:t>If an application is made for the forfeiture of the whole or any part of the cash under section 298, the notice lapses.</w:t>
      </w:r>
    </w:p>
    <w:p w14:paraId="796B2991" w14:textId="77777777" w:rsidR="002A05B7" w:rsidRPr="00B31D47" w:rsidRDefault="002A05B7" w:rsidP="00830547">
      <w:pPr>
        <w:pStyle w:val="ListParagraph"/>
        <w:ind w:left="1980" w:right="1440" w:hanging="540"/>
        <w:jc w:val="both"/>
        <w:rPr>
          <w:szCs w:val="28"/>
        </w:rPr>
      </w:pPr>
    </w:p>
    <w:p w14:paraId="52CB0375" w14:textId="271854C4" w:rsidR="00B31D47" w:rsidRDefault="00B31D47" w:rsidP="00830547">
      <w:pPr>
        <w:pStyle w:val="ListParagraph"/>
        <w:ind w:left="1980" w:right="1440" w:hanging="540"/>
        <w:jc w:val="both"/>
        <w:rPr>
          <w:szCs w:val="28"/>
        </w:rPr>
      </w:pPr>
      <w:r w:rsidRPr="00B31D47">
        <w:rPr>
          <w:szCs w:val="28"/>
        </w:rPr>
        <w:t>(6)</w:t>
      </w:r>
      <w:r w:rsidR="002A05B7">
        <w:rPr>
          <w:szCs w:val="28"/>
        </w:rPr>
        <w:tab/>
      </w:r>
      <w:r w:rsidRPr="00B31D47">
        <w:rPr>
          <w:szCs w:val="28"/>
        </w:rPr>
        <w:t>If the cash or any part of it is released under a power conferred by this Chapter, the notice lapses or (as the case may be) lapses in relation to that part.</w:t>
      </w:r>
    </w:p>
    <w:p w14:paraId="6B789866" w14:textId="77777777" w:rsidR="002A05B7" w:rsidRPr="00B31D47" w:rsidRDefault="002A05B7" w:rsidP="00830547">
      <w:pPr>
        <w:pStyle w:val="ListParagraph"/>
        <w:ind w:left="1980" w:right="1440" w:hanging="540"/>
        <w:jc w:val="both"/>
        <w:rPr>
          <w:szCs w:val="28"/>
        </w:rPr>
      </w:pPr>
    </w:p>
    <w:p w14:paraId="515083E8" w14:textId="78E6D50C" w:rsidR="00B31D47" w:rsidRDefault="00B31D47" w:rsidP="00830547">
      <w:pPr>
        <w:pStyle w:val="ListParagraph"/>
        <w:ind w:left="1980" w:right="1440" w:hanging="540"/>
        <w:jc w:val="both"/>
        <w:rPr>
          <w:szCs w:val="28"/>
        </w:rPr>
      </w:pPr>
      <w:r w:rsidRPr="00B31D47">
        <w:rPr>
          <w:szCs w:val="28"/>
        </w:rPr>
        <w:t>(7)</w:t>
      </w:r>
      <w:r w:rsidR="002A05B7">
        <w:rPr>
          <w:szCs w:val="28"/>
        </w:rPr>
        <w:tab/>
      </w:r>
      <w:r w:rsidRPr="00B31D47">
        <w:rPr>
          <w:szCs w:val="28"/>
        </w:rPr>
        <w:t>An objection may be made by anyone, whether a recipient of the notice or not.</w:t>
      </w:r>
    </w:p>
    <w:p w14:paraId="4A883188" w14:textId="77777777" w:rsidR="002A05B7" w:rsidRPr="00B31D47" w:rsidRDefault="002A05B7" w:rsidP="00830547">
      <w:pPr>
        <w:pStyle w:val="ListParagraph"/>
        <w:ind w:left="1980" w:right="1440" w:hanging="540"/>
        <w:jc w:val="both"/>
        <w:rPr>
          <w:szCs w:val="28"/>
        </w:rPr>
      </w:pPr>
    </w:p>
    <w:p w14:paraId="18E14469" w14:textId="07678F25" w:rsidR="00B31D47" w:rsidRDefault="00B31D47" w:rsidP="00830547">
      <w:pPr>
        <w:pStyle w:val="ListParagraph"/>
        <w:ind w:left="1980" w:right="1440" w:hanging="540"/>
        <w:jc w:val="both"/>
        <w:rPr>
          <w:szCs w:val="28"/>
        </w:rPr>
      </w:pPr>
      <w:r w:rsidRPr="00B31D47">
        <w:rPr>
          <w:szCs w:val="28"/>
        </w:rPr>
        <w:t>(8)</w:t>
      </w:r>
      <w:r w:rsidR="002A05B7">
        <w:rPr>
          <w:szCs w:val="28"/>
        </w:rPr>
        <w:tab/>
      </w:r>
      <w:r w:rsidRPr="00B31D47">
        <w:rPr>
          <w:szCs w:val="28"/>
        </w:rPr>
        <w:t>An objection means a written objection sent to the address specified in the notice; and an objection is made when it is received at the address.</w:t>
      </w:r>
    </w:p>
    <w:p w14:paraId="2AEB3A29" w14:textId="77777777" w:rsidR="002A05B7" w:rsidRPr="00B31D47" w:rsidRDefault="002A05B7" w:rsidP="00830547">
      <w:pPr>
        <w:pStyle w:val="ListParagraph"/>
        <w:ind w:left="1980" w:right="1440" w:hanging="540"/>
        <w:jc w:val="both"/>
        <w:rPr>
          <w:szCs w:val="28"/>
        </w:rPr>
      </w:pPr>
    </w:p>
    <w:p w14:paraId="150A1D8E" w14:textId="63EFBD5B" w:rsidR="00B31D47" w:rsidRDefault="00B31D47" w:rsidP="00830547">
      <w:pPr>
        <w:pStyle w:val="ListParagraph"/>
        <w:ind w:left="1980" w:right="1440" w:hanging="540"/>
        <w:jc w:val="both"/>
        <w:rPr>
          <w:szCs w:val="28"/>
        </w:rPr>
      </w:pPr>
      <w:r w:rsidRPr="00B31D47">
        <w:rPr>
          <w:szCs w:val="28"/>
        </w:rPr>
        <w:t>(9)</w:t>
      </w:r>
      <w:r w:rsidR="002A05B7">
        <w:rPr>
          <w:szCs w:val="28"/>
        </w:rPr>
        <w:tab/>
      </w:r>
      <w:r w:rsidRPr="00B31D47">
        <w:rPr>
          <w:szCs w:val="28"/>
        </w:rPr>
        <w:t>An objection does not prevent forfeiture of the cash under section 298.</w:t>
      </w:r>
    </w:p>
    <w:p w14:paraId="7F40437E" w14:textId="77777777" w:rsidR="002A05B7" w:rsidRPr="00B31D47" w:rsidRDefault="002A05B7" w:rsidP="00830547">
      <w:pPr>
        <w:pStyle w:val="ListParagraph"/>
        <w:ind w:left="1980" w:right="1440" w:hanging="540"/>
        <w:jc w:val="both"/>
        <w:rPr>
          <w:szCs w:val="28"/>
        </w:rPr>
      </w:pPr>
    </w:p>
    <w:p w14:paraId="401C86E9" w14:textId="066C7F5A" w:rsidR="00B31D47" w:rsidRPr="00B31D47" w:rsidRDefault="00B31D47" w:rsidP="00830547">
      <w:pPr>
        <w:pStyle w:val="ListParagraph"/>
        <w:ind w:left="1980" w:right="1440" w:hanging="540"/>
        <w:jc w:val="both"/>
        <w:rPr>
          <w:szCs w:val="28"/>
        </w:rPr>
      </w:pPr>
      <w:r w:rsidRPr="00B31D47">
        <w:rPr>
          <w:szCs w:val="28"/>
        </w:rPr>
        <w:t>(10)</w:t>
      </w:r>
      <w:r w:rsidR="002A05B7">
        <w:rPr>
          <w:szCs w:val="28"/>
        </w:rPr>
        <w:tab/>
      </w:r>
      <w:r w:rsidRPr="00B31D47">
        <w:rPr>
          <w:szCs w:val="28"/>
        </w:rPr>
        <w:t>Nothing in this section affects the validity of an order under section 295(2).</w:t>
      </w:r>
      <w:r w:rsidR="002A05B7">
        <w:rPr>
          <w:szCs w:val="28"/>
        </w:rPr>
        <w:t>"</w:t>
      </w:r>
    </w:p>
    <w:p w14:paraId="17AB19A8" w14:textId="21706692" w:rsidR="00B31D47" w:rsidRPr="00B31D47" w:rsidRDefault="00B31D47" w:rsidP="00830547">
      <w:pPr>
        <w:pStyle w:val="ListParagraph"/>
        <w:ind w:left="1980" w:right="1440" w:hanging="540"/>
        <w:jc w:val="both"/>
        <w:rPr>
          <w:szCs w:val="28"/>
        </w:rPr>
      </w:pPr>
    </w:p>
    <w:p w14:paraId="44CD00E0" w14:textId="44D728AF" w:rsidR="00431234" w:rsidRDefault="002A05B7" w:rsidP="00830547">
      <w:pPr>
        <w:pStyle w:val="ListParagraph"/>
        <w:numPr>
          <w:ilvl w:val="0"/>
          <w:numId w:val="7"/>
        </w:numPr>
        <w:jc w:val="both"/>
        <w:rPr>
          <w:szCs w:val="28"/>
        </w:rPr>
      </w:pPr>
      <w:r>
        <w:rPr>
          <w:szCs w:val="28"/>
        </w:rPr>
        <w:t>Finally, s.297D governs detention following the lapse of a forfeiture notice.  Sections (1), (2) and (5) provide as follows:</w:t>
      </w:r>
    </w:p>
    <w:p w14:paraId="0D40AE13" w14:textId="0562C2FB" w:rsidR="002A05B7" w:rsidRDefault="002A05B7" w:rsidP="00830547">
      <w:pPr>
        <w:pStyle w:val="ListParagraph"/>
        <w:jc w:val="both"/>
        <w:rPr>
          <w:szCs w:val="28"/>
        </w:rPr>
      </w:pPr>
    </w:p>
    <w:p w14:paraId="2DE5DC70" w14:textId="075AD105" w:rsidR="002A05B7" w:rsidRDefault="002A05B7" w:rsidP="00830547">
      <w:pPr>
        <w:pStyle w:val="ListParagraph"/>
        <w:ind w:left="1980" w:right="1440" w:hanging="630"/>
        <w:jc w:val="both"/>
        <w:rPr>
          <w:szCs w:val="28"/>
        </w:rPr>
      </w:pPr>
      <w:r>
        <w:rPr>
          <w:szCs w:val="28"/>
        </w:rPr>
        <w:t>"</w:t>
      </w:r>
      <w:r w:rsidRPr="002A05B7">
        <w:rPr>
          <w:szCs w:val="28"/>
        </w:rPr>
        <w:t>(1)</w:t>
      </w:r>
      <w:r>
        <w:rPr>
          <w:szCs w:val="28"/>
        </w:rPr>
        <w:t xml:space="preserve"> </w:t>
      </w:r>
      <w:r>
        <w:rPr>
          <w:szCs w:val="28"/>
        </w:rPr>
        <w:tab/>
      </w:r>
      <w:r w:rsidRPr="002A05B7">
        <w:rPr>
          <w:szCs w:val="28"/>
        </w:rPr>
        <w:t>This section applies if—</w:t>
      </w:r>
    </w:p>
    <w:p w14:paraId="42115667" w14:textId="77777777" w:rsidR="002A05B7" w:rsidRPr="002A05B7" w:rsidRDefault="002A05B7" w:rsidP="00830547">
      <w:pPr>
        <w:pStyle w:val="ListParagraph"/>
        <w:ind w:left="1980" w:right="1440" w:hanging="540"/>
        <w:jc w:val="both"/>
        <w:rPr>
          <w:szCs w:val="28"/>
        </w:rPr>
      </w:pPr>
    </w:p>
    <w:p w14:paraId="66467739" w14:textId="2E2C7FFE" w:rsidR="002A05B7" w:rsidRDefault="002A05B7" w:rsidP="00830547">
      <w:pPr>
        <w:pStyle w:val="ListParagraph"/>
        <w:ind w:left="2610" w:right="1440" w:hanging="450"/>
        <w:jc w:val="both"/>
        <w:rPr>
          <w:szCs w:val="28"/>
        </w:rPr>
      </w:pPr>
      <w:r w:rsidRPr="002A05B7">
        <w:rPr>
          <w:szCs w:val="28"/>
        </w:rPr>
        <w:t>(a)</w:t>
      </w:r>
      <w:r>
        <w:rPr>
          <w:szCs w:val="28"/>
        </w:rPr>
        <w:tab/>
      </w:r>
      <w:r w:rsidRPr="002A05B7">
        <w:rPr>
          <w:szCs w:val="28"/>
        </w:rPr>
        <w:t>a forfeiture notice is given in respect of any cash,</w:t>
      </w:r>
    </w:p>
    <w:p w14:paraId="7C36ED31" w14:textId="77777777" w:rsidR="002A05B7" w:rsidRPr="002A05B7" w:rsidRDefault="002A05B7" w:rsidP="00830547">
      <w:pPr>
        <w:pStyle w:val="ListParagraph"/>
        <w:ind w:left="2610" w:right="1440" w:hanging="450"/>
        <w:jc w:val="both"/>
        <w:rPr>
          <w:szCs w:val="28"/>
        </w:rPr>
      </w:pPr>
    </w:p>
    <w:p w14:paraId="3858AAF0" w14:textId="62365A4C" w:rsidR="002A05B7" w:rsidRDefault="002A05B7" w:rsidP="00830547">
      <w:pPr>
        <w:pStyle w:val="ListParagraph"/>
        <w:ind w:left="2610" w:right="1440" w:hanging="450"/>
        <w:jc w:val="both"/>
        <w:rPr>
          <w:szCs w:val="28"/>
        </w:rPr>
      </w:pPr>
      <w:r w:rsidRPr="002A05B7">
        <w:rPr>
          <w:szCs w:val="28"/>
        </w:rPr>
        <w:t>(b)</w:t>
      </w:r>
      <w:r>
        <w:rPr>
          <w:szCs w:val="28"/>
        </w:rPr>
        <w:tab/>
      </w:r>
      <w:r w:rsidRPr="002A05B7">
        <w:rPr>
          <w:szCs w:val="28"/>
        </w:rPr>
        <w:t>the notice lapses under section 297C(4), and</w:t>
      </w:r>
    </w:p>
    <w:p w14:paraId="5A330C38" w14:textId="77777777" w:rsidR="002A05B7" w:rsidRPr="002A05B7" w:rsidRDefault="002A05B7" w:rsidP="00830547">
      <w:pPr>
        <w:pStyle w:val="ListParagraph"/>
        <w:ind w:left="2610" w:right="1440" w:hanging="450"/>
        <w:jc w:val="both"/>
        <w:rPr>
          <w:szCs w:val="28"/>
        </w:rPr>
      </w:pPr>
    </w:p>
    <w:p w14:paraId="3CA27BE0" w14:textId="695B4058" w:rsidR="002A05B7" w:rsidRDefault="002A05B7" w:rsidP="00830547">
      <w:pPr>
        <w:pStyle w:val="ListParagraph"/>
        <w:ind w:left="2610" w:right="1440" w:hanging="450"/>
        <w:jc w:val="both"/>
        <w:rPr>
          <w:szCs w:val="28"/>
        </w:rPr>
      </w:pPr>
      <w:r w:rsidRPr="002A05B7">
        <w:rPr>
          <w:szCs w:val="28"/>
        </w:rPr>
        <w:t>(c)</w:t>
      </w:r>
      <w:r>
        <w:rPr>
          <w:szCs w:val="28"/>
        </w:rPr>
        <w:tab/>
      </w:r>
      <w:r w:rsidRPr="002A05B7">
        <w:rPr>
          <w:szCs w:val="28"/>
        </w:rPr>
        <w:t>the period for which detention of the cash was authorised under section 295(2) has expired.</w:t>
      </w:r>
    </w:p>
    <w:p w14:paraId="6CC04C94" w14:textId="77777777" w:rsidR="002A05B7" w:rsidRPr="002A05B7" w:rsidRDefault="002A05B7" w:rsidP="00830547">
      <w:pPr>
        <w:pStyle w:val="ListParagraph"/>
        <w:ind w:left="2610" w:right="1440" w:hanging="450"/>
        <w:jc w:val="both"/>
        <w:rPr>
          <w:szCs w:val="28"/>
        </w:rPr>
      </w:pPr>
    </w:p>
    <w:p w14:paraId="40770D2D" w14:textId="3E797DA9" w:rsidR="002A05B7" w:rsidRDefault="002A05B7" w:rsidP="00830547">
      <w:pPr>
        <w:pStyle w:val="ListParagraph"/>
        <w:ind w:left="1980" w:right="1440" w:hanging="540"/>
        <w:jc w:val="both"/>
        <w:rPr>
          <w:szCs w:val="28"/>
        </w:rPr>
      </w:pPr>
      <w:r w:rsidRPr="002A05B7">
        <w:rPr>
          <w:szCs w:val="28"/>
        </w:rPr>
        <w:t>(2)</w:t>
      </w:r>
      <w:r>
        <w:rPr>
          <w:szCs w:val="28"/>
        </w:rPr>
        <w:tab/>
      </w:r>
      <w:r w:rsidRPr="002A05B7">
        <w:rPr>
          <w:szCs w:val="28"/>
        </w:rPr>
        <w:t>The cash may be detained for a further period of up to 48 hours (calculated in accordance with section 295(1B)).</w:t>
      </w:r>
    </w:p>
    <w:p w14:paraId="55D6872C" w14:textId="0EAC9DD6" w:rsidR="002D5D57" w:rsidRPr="002A05B7" w:rsidRDefault="002D5D57" w:rsidP="00830547">
      <w:pPr>
        <w:pStyle w:val="ListParagraph"/>
        <w:ind w:left="1980" w:right="1440" w:hanging="540"/>
        <w:jc w:val="both"/>
        <w:rPr>
          <w:szCs w:val="28"/>
        </w:rPr>
      </w:pPr>
      <w:r>
        <w:rPr>
          <w:szCs w:val="28"/>
        </w:rPr>
        <w:t>………..</w:t>
      </w:r>
    </w:p>
    <w:p w14:paraId="362A7465" w14:textId="4F44C05B" w:rsidR="002A05B7" w:rsidRPr="002A05B7" w:rsidRDefault="002A05B7" w:rsidP="00830547">
      <w:pPr>
        <w:pStyle w:val="ListParagraph"/>
        <w:ind w:left="1440" w:right="1440"/>
        <w:jc w:val="both"/>
        <w:rPr>
          <w:szCs w:val="28"/>
        </w:rPr>
      </w:pPr>
      <w:r>
        <w:rPr>
          <w:szCs w:val="28"/>
        </w:rPr>
        <w:lastRenderedPageBreak/>
        <w:tab/>
      </w:r>
    </w:p>
    <w:p w14:paraId="15C02434" w14:textId="55878ACD" w:rsidR="002A05B7" w:rsidRPr="002A05B7" w:rsidRDefault="002A05B7" w:rsidP="00830547">
      <w:pPr>
        <w:pStyle w:val="ListParagraph"/>
        <w:ind w:left="1980" w:right="1440" w:hanging="540"/>
        <w:jc w:val="both"/>
        <w:rPr>
          <w:szCs w:val="28"/>
        </w:rPr>
      </w:pPr>
      <w:r w:rsidRPr="002A05B7">
        <w:rPr>
          <w:szCs w:val="28"/>
        </w:rPr>
        <w:t xml:space="preserve">(5) </w:t>
      </w:r>
      <w:r>
        <w:rPr>
          <w:szCs w:val="28"/>
        </w:rPr>
        <w:tab/>
      </w:r>
      <w:r w:rsidRPr="002A05B7">
        <w:rPr>
          <w:szCs w:val="28"/>
        </w:rPr>
        <w:t>If within that period an application is made for a further order under section 295(2) the cash may be detained until the application is determined or otherwise disposed of.</w:t>
      </w:r>
      <w:r>
        <w:rPr>
          <w:szCs w:val="28"/>
        </w:rPr>
        <w:t>"</w:t>
      </w:r>
    </w:p>
    <w:p w14:paraId="38DED3E0" w14:textId="77777777" w:rsidR="002A05B7" w:rsidRDefault="002A05B7" w:rsidP="00830547">
      <w:pPr>
        <w:pStyle w:val="ListParagraph"/>
        <w:ind w:left="1440"/>
        <w:jc w:val="both"/>
        <w:rPr>
          <w:szCs w:val="28"/>
        </w:rPr>
      </w:pPr>
    </w:p>
    <w:p w14:paraId="40D39EC1" w14:textId="410701B6" w:rsidR="00431234" w:rsidRDefault="00823D59" w:rsidP="00830547">
      <w:pPr>
        <w:pStyle w:val="ListParagraph"/>
        <w:numPr>
          <w:ilvl w:val="0"/>
          <w:numId w:val="7"/>
        </w:numPr>
        <w:jc w:val="both"/>
        <w:rPr>
          <w:szCs w:val="28"/>
        </w:rPr>
      </w:pPr>
      <w:r>
        <w:rPr>
          <w:szCs w:val="28"/>
        </w:rPr>
        <w:t xml:space="preserve">I turn now to the two previous cases which the District Judge held were binding or effectively binding  on her.  Mr </w:t>
      </w:r>
      <w:proofErr w:type="spellStart"/>
      <w:r>
        <w:rPr>
          <w:szCs w:val="28"/>
        </w:rPr>
        <w:t>Rainsbury</w:t>
      </w:r>
      <w:proofErr w:type="spellEnd"/>
      <w:r>
        <w:rPr>
          <w:szCs w:val="28"/>
        </w:rPr>
        <w:t xml:space="preserve"> rightly points out that each of them was concerned with a first court order, not a court order for an extension following a previous court hearing, and also that the </w:t>
      </w:r>
      <w:r w:rsidR="002D5D57">
        <w:rPr>
          <w:szCs w:val="28"/>
        </w:rPr>
        <w:t>provision</w:t>
      </w:r>
      <w:r>
        <w:rPr>
          <w:szCs w:val="28"/>
        </w:rPr>
        <w:t xml:space="preserve">s under which they were determined were predecessor </w:t>
      </w:r>
      <w:r w:rsidR="002D5D57">
        <w:rPr>
          <w:szCs w:val="28"/>
        </w:rPr>
        <w:t>s</w:t>
      </w:r>
      <w:r>
        <w:rPr>
          <w:szCs w:val="28"/>
        </w:rPr>
        <w:t xml:space="preserve">tatutes to the 2002 Act and not identically worded.  In </w:t>
      </w:r>
      <w:r w:rsidR="001734E4">
        <w:rPr>
          <w:i/>
          <w:iCs/>
          <w:szCs w:val="28"/>
        </w:rPr>
        <w:t xml:space="preserve">R v Uxbridge Magistrates Court </w:t>
      </w:r>
      <w:r w:rsidR="002D5D57">
        <w:rPr>
          <w:i/>
          <w:iCs/>
          <w:szCs w:val="28"/>
        </w:rPr>
        <w:t>e</w:t>
      </w:r>
      <w:r w:rsidR="001734E4">
        <w:rPr>
          <w:i/>
          <w:iCs/>
          <w:szCs w:val="28"/>
        </w:rPr>
        <w:t xml:space="preserve">x </w:t>
      </w:r>
      <w:r w:rsidR="002D5D57">
        <w:rPr>
          <w:i/>
          <w:iCs/>
          <w:szCs w:val="28"/>
        </w:rPr>
        <w:t>p</w:t>
      </w:r>
      <w:r w:rsidR="001734E4">
        <w:rPr>
          <w:i/>
          <w:iCs/>
          <w:szCs w:val="28"/>
        </w:rPr>
        <w:t>arte Henry</w:t>
      </w:r>
      <w:r w:rsidR="002D5D57">
        <w:rPr>
          <w:i/>
          <w:iCs/>
          <w:szCs w:val="28"/>
        </w:rPr>
        <w:t xml:space="preserve"> </w:t>
      </w:r>
      <w:r w:rsidR="001734E4">
        <w:rPr>
          <w:szCs w:val="28"/>
        </w:rPr>
        <w:t xml:space="preserve">the </w:t>
      </w:r>
      <w:r w:rsidR="002D5D57">
        <w:rPr>
          <w:szCs w:val="28"/>
        </w:rPr>
        <w:t>s</w:t>
      </w:r>
      <w:r w:rsidR="001734E4">
        <w:rPr>
          <w:szCs w:val="28"/>
        </w:rPr>
        <w:t>tatute in question was s.25 of the Criminal Justice (International Co-operation) Act 1990.  Section 25(1) allowed customs officers or constables to seize cash being imported into or exported from the UK if it was reasonably suspected to represent the proceeds of drug trafficking.  Section 25(2) provided:</w:t>
      </w:r>
    </w:p>
    <w:p w14:paraId="4731A7D5" w14:textId="5700741D" w:rsidR="001734E4" w:rsidRDefault="001734E4" w:rsidP="00830547">
      <w:pPr>
        <w:pStyle w:val="ListParagraph"/>
        <w:jc w:val="both"/>
        <w:rPr>
          <w:szCs w:val="28"/>
        </w:rPr>
      </w:pPr>
    </w:p>
    <w:p w14:paraId="159A3D3D" w14:textId="55207ECC" w:rsidR="00431234" w:rsidRDefault="001734E4" w:rsidP="00830547">
      <w:pPr>
        <w:pStyle w:val="ListParagraph"/>
        <w:ind w:left="1980" w:right="1440" w:hanging="540"/>
        <w:jc w:val="both"/>
        <w:rPr>
          <w:szCs w:val="28"/>
        </w:rPr>
      </w:pPr>
      <w:r>
        <w:rPr>
          <w:szCs w:val="28"/>
        </w:rPr>
        <w:t xml:space="preserve">"(2) </w:t>
      </w:r>
      <w:r w:rsidRPr="001734E4">
        <w:t xml:space="preserve"> </w:t>
      </w:r>
      <w:r>
        <w:tab/>
        <w:t>C</w:t>
      </w:r>
      <w:r w:rsidRPr="001734E4">
        <w:rPr>
          <w:szCs w:val="28"/>
        </w:rPr>
        <w:t>ash seized by virtue of this section shall not be detained for more than forty-eight hours unless its continued detention is authorised by an order made by a justice of the peace</w:t>
      </w:r>
      <w:r>
        <w:rPr>
          <w:szCs w:val="28"/>
        </w:rPr>
        <w:t>."</w:t>
      </w:r>
    </w:p>
    <w:p w14:paraId="5AAD474D" w14:textId="44954417" w:rsidR="001734E4" w:rsidRDefault="001734E4" w:rsidP="00830547">
      <w:pPr>
        <w:pStyle w:val="ListParagraph"/>
        <w:ind w:left="1980" w:hanging="540"/>
        <w:jc w:val="both"/>
        <w:rPr>
          <w:szCs w:val="28"/>
        </w:rPr>
      </w:pPr>
    </w:p>
    <w:p w14:paraId="2D620E82" w14:textId="77777777" w:rsidR="001734E4" w:rsidRDefault="001734E4" w:rsidP="00830547">
      <w:pPr>
        <w:pStyle w:val="ListParagraph"/>
        <w:ind w:left="1980" w:hanging="540"/>
        <w:jc w:val="both"/>
        <w:rPr>
          <w:szCs w:val="28"/>
        </w:rPr>
      </w:pPr>
    </w:p>
    <w:p w14:paraId="55982ED1" w14:textId="6415E286" w:rsidR="00D74D68" w:rsidRPr="00D74D68" w:rsidRDefault="001734E4" w:rsidP="00830547">
      <w:pPr>
        <w:pStyle w:val="ListParagraph"/>
        <w:numPr>
          <w:ilvl w:val="0"/>
          <w:numId w:val="7"/>
        </w:numPr>
        <w:jc w:val="both"/>
        <w:rPr>
          <w:szCs w:val="28"/>
        </w:rPr>
      </w:pPr>
      <w:r>
        <w:rPr>
          <w:szCs w:val="28"/>
        </w:rPr>
        <w:t xml:space="preserve">In the </w:t>
      </w:r>
      <w:r>
        <w:rPr>
          <w:i/>
          <w:iCs/>
          <w:szCs w:val="28"/>
        </w:rPr>
        <w:t>Henry</w:t>
      </w:r>
      <w:r>
        <w:t xml:space="preserve"> case the cash had been detained at 09.44 a.m. on day 1, but the order of the Magistrates' Court was made at or </w:t>
      </w:r>
      <w:r w:rsidR="002D5D57">
        <w:t>shortly</w:t>
      </w:r>
      <w:r>
        <w:t xml:space="preserve"> before 12.30 p.m. on day 3.  It was held, although the point of law does not seem to have been argued, that by the time the court order was made, the initial period of 48 hours had expired.  </w:t>
      </w:r>
      <w:r w:rsidR="007944B7">
        <w:t>Scott Baker J said at p.8 of the transcript:</w:t>
      </w:r>
    </w:p>
    <w:p w14:paraId="6C9EE49E" w14:textId="77777777" w:rsidR="00D74D68" w:rsidRDefault="00D74D68" w:rsidP="00830547">
      <w:pPr>
        <w:pStyle w:val="ListParagraph"/>
        <w:jc w:val="both"/>
        <w:rPr>
          <w:szCs w:val="28"/>
        </w:rPr>
      </w:pPr>
    </w:p>
    <w:p w14:paraId="0740A7AB" w14:textId="791C445D" w:rsidR="00D74D68" w:rsidRDefault="007944B7" w:rsidP="00830547">
      <w:pPr>
        <w:pStyle w:val="ListParagraph"/>
        <w:ind w:left="1440" w:right="1440"/>
        <w:jc w:val="both"/>
        <w:rPr>
          <w:szCs w:val="28"/>
        </w:rPr>
      </w:pPr>
      <w:r w:rsidRPr="00D74D68">
        <w:rPr>
          <w:szCs w:val="28"/>
        </w:rPr>
        <w:t xml:space="preserve">"Parliament, in my judgment, has prescribed a specifically limited period, a period to be measured in hours.  This is, as the learned editors of </w:t>
      </w:r>
      <w:r w:rsidRPr="002D5D57">
        <w:rPr>
          <w:i/>
          <w:iCs/>
          <w:szCs w:val="28"/>
        </w:rPr>
        <w:t>Archbold</w:t>
      </w:r>
      <w:r w:rsidRPr="00D74D68">
        <w:rPr>
          <w:szCs w:val="28"/>
        </w:rPr>
        <w:t xml:space="preserve"> have pointed out, draconian legislation.  In these circumstances it is particularly important that its provisions should be strictly complied with.  48 hours is the period given to the Customs &amp; Excise to make their further enquiries, and if they require more time then they have to go to a </w:t>
      </w:r>
      <w:r w:rsidR="002D5D57">
        <w:rPr>
          <w:szCs w:val="28"/>
        </w:rPr>
        <w:t>m</w:t>
      </w:r>
      <w:r w:rsidRPr="00D74D68">
        <w:rPr>
          <w:szCs w:val="28"/>
        </w:rPr>
        <w:t>agistrate to seek an appropriate order.  It does not seem to me that that places any undue burden upon them."</w:t>
      </w:r>
    </w:p>
    <w:p w14:paraId="51046D69" w14:textId="77777777" w:rsidR="00820673" w:rsidRDefault="00820673" w:rsidP="00830547">
      <w:pPr>
        <w:pStyle w:val="ListParagraph"/>
        <w:ind w:left="1440" w:right="1440"/>
        <w:jc w:val="both"/>
        <w:rPr>
          <w:szCs w:val="28"/>
        </w:rPr>
      </w:pPr>
    </w:p>
    <w:p w14:paraId="2E8FA3D5" w14:textId="77777777" w:rsidR="00D74D68" w:rsidRDefault="00D74D68" w:rsidP="00830547">
      <w:pPr>
        <w:pStyle w:val="ListParagraph"/>
        <w:jc w:val="both"/>
        <w:rPr>
          <w:szCs w:val="28"/>
        </w:rPr>
      </w:pPr>
    </w:p>
    <w:p w14:paraId="65E1C514" w14:textId="2692BECC" w:rsidR="00820673" w:rsidRDefault="007944B7" w:rsidP="00830547">
      <w:pPr>
        <w:pStyle w:val="ListParagraph"/>
        <w:numPr>
          <w:ilvl w:val="0"/>
          <w:numId w:val="7"/>
        </w:numPr>
        <w:jc w:val="both"/>
        <w:rPr>
          <w:szCs w:val="28"/>
        </w:rPr>
      </w:pPr>
      <w:r w:rsidRPr="00D74D68">
        <w:rPr>
          <w:szCs w:val="28"/>
        </w:rPr>
        <w:t xml:space="preserve">The same view was taken in </w:t>
      </w:r>
      <w:r w:rsidRPr="00D74D68">
        <w:rPr>
          <w:i/>
          <w:iCs/>
          <w:szCs w:val="28"/>
        </w:rPr>
        <w:t>Walsh and Etherington v Her Majesty's Customs &amp; Excise</w:t>
      </w:r>
      <w:r w:rsidR="00D74D68" w:rsidRPr="00D74D68">
        <w:rPr>
          <w:szCs w:val="28"/>
        </w:rPr>
        <w:t xml:space="preserve"> in 2001.  The </w:t>
      </w:r>
      <w:r w:rsidR="002D5D57">
        <w:rPr>
          <w:szCs w:val="28"/>
        </w:rPr>
        <w:t>s</w:t>
      </w:r>
      <w:r w:rsidR="00D74D68" w:rsidRPr="00D74D68">
        <w:rPr>
          <w:szCs w:val="28"/>
        </w:rPr>
        <w:t>tatute rele</w:t>
      </w:r>
      <w:r w:rsidR="00D74D68">
        <w:rPr>
          <w:szCs w:val="28"/>
        </w:rPr>
        <w:t>vant to that case was s.42 of the Drug Trafficking Act 1994, subsection (2) of which provided that:</w:t>
      </w:r>
    </w:p>
    <w:p w14:paraId="71DFDDED" w14:textId="77777777" w:rsidR="00820673" w:rsidRDefault="00820673" w:rsidP="00830547">
      <w:pPr>
        <w:pStyle w:val="ListParagraph"/>
        <w:ind w:left="900"/>
        <w:jc w:val="both"/>
        <w:rPr>
          <w:szCs w:val="28"/>
        </w:rPr>
      </w:pPr>
    </w:p>
    <w:p w14:paraId="5E3D00E5" w14:textId="21526B02" w:rsidR="00820673" w:rsidRDefault="00D74D68" w:rsidP="00830547">
      <w:pPr>
        <w:pStyle w:val="ListParagraph"/>
        <w:ind w:left="1440" w:right="1440"/>
        <w:jc w:val="both"/>
        <w:rPr>
          <w:szCs w:val="28"/>
        </w:rPr>
      </w:pPr>
      <w:r w:rsidRPr="00820673">
        <w:rPr>
          <w:szCs w:val="28"/>
        </w:rPr>
        <w:t xml:space="preserve">"Cash seized by virtue of this section shall not be detained for more than 48 hours unless its continued detention is authorised by an order made by a justice of the peace." </w:t>
      </w:r>
    </w:p>
    <w:p w14:paraId="71915960" w14:textId="77777777" w:rsidR="00820673" w:rsidRDefault="00820673" w:rsidP="00830547">
      <w:pPr>
        <w:pStyle w:val="ListParagraph"/>
        <w:ind w:left="900"/>
        <w:jc w:val="both"/>
        <w:rPr>
          <w:szCs w:val="28"/>
        </w:rPr>
      </w:pPr>
    </w:p>
    <w:p w14:paraId="02D39F72" w14:textId="2F9FA4A7" w:rsidR="00820673" w:rsidRDefault="00D74D68" w:rsidP="00830547">
      <w:pPr>
        <w:pStyle w:val="ListParagraph"/>
        <w:ind w:left="900"/>
        <w:jc w:val="both"/>
        <w:rPr>
          <w:szCs w:val="28"/>
        </w:rPr>
      </w:pPr>
      <w:r w:rsidRPr="00820673">
        <w:rPr>
          <w:szCs w:val="28"/>
        </w:rPr>
        <w:t xml:space="preserve">This is identical wording to that contained in the 1990 </w:t>
      </w:r>
      <w:proofErr w:type="gramStart"/>
      <w:r w:rsidRPr="00820673">
        <w:rPr>
          <w:szCs w:val="28"/>
        </w:rPr>
        <w:t>Act, and</w:t>
      </w:r>
      <w:proofErr w:type="gramEnd"/>
      <w:r w:rsidRPr="00820673">
        <w:rPr>
          <w:szCs w:val="28"/>
        </w:rPr>
        <w:t xml:space="preserve"> considered in the case of </w:t>
      </w:r>
      <w:r w:rsidRPr="00820673">
        <w:rPr>
          <w:i/>
          <w:iCs/>
          <w:szCs w:val="28"/>
        </w:rPr>
        <w:t>Henry</w:t>
      </w:r>
      <w:r w:rsidRPr="00820673">
        <w:rPr>
          <w:szCs w:val="28"/>
        </w:rPr>
        <w:t>.  Latham LJ said at para.</w:t>
      </w:r>
      <w:r w:rsidR="00F808BF" w:rsidRPr="00820673">
        <w:rPr>
          <w:szCs w:val="28"/>
        </w:rPr>
        <w:t>21</w:t>
      </w:r>
      <w:r w:rsidR="0076458A">
        <w:rPr>
          <w:szCs w:val="28"/>
        </w:rPr>
        <w:t>:</w:t>
      </w:r>
    </w:p>
    <w:p w14:paraId="73A6593F" w14:textId="77777777" w:rsidR="00820673" w:rsidRDefault="00820673" w:rsidP="00830547">
      <w:pPr>
        <w:pStyle w:val="ListParagraph"/>
        <w:ind w:left="900"/>
        <w:jc w:val="both"/>
        <w:rPr>
          <w:szCs w:val="28"/>
        </w:rPr>
      </w:pPr>
    </w:p>
    <w:p w14:paraId="46252FCD" w14:textId="589E7B68" w:rsidR="00820673" w:rsidRDefault="00F808BF" w:rsidP="00830547">
      <w:pPr>
        <w:pStyle w:val="ListParagraph"/>
        <w:ind w:left="1440" w:right="1440"/>
        <w:jc w:val="both"/>
        <w:rPr>
          <w:szCs w:val="28"/>
        </w:rPr>
      </w:pPr>
      <w:r w:rsidRPr="00820673">
        <w:rPr>
          <w:szCs w:val="28"/>
        </w:rPr>
        <w:t>"Although the matter had not been the subject of argument before the court in</w:t>
      </w:r>
      <w:r w:rsidRPr="00820673">
        <w:rPr>
          <w:i/>
          <w:iCs/>
          <w:szCs w:val="28"/>
        </w:rPr>
        <w:t xml:space="preserve"> Henry,</w:t>
      </w:r>
      <w:r w:rsidRPr="00820673">
        <w:rPr>
          <w:szCs w:val="28"/>
        </w:rPr>
        <w:t xml:space="preserve"> it has been the subject of argument before us.  As I have already indicated, I have no doubt that the wording of subsection (2) is such as to preclude any Justice from making any order authorising the continued detention of any cash under that section after the end of 48 hours from seizure.  The statutory provision is one which, in my judgment, has to be construed strictly as explained by Scott Baker J and </w:t>
      </w:r>
      <w:r w:rsidRPr="00820673">
        <w:rPr>
          <w:szCs w:val="28"/>
        </w:rPr>
        <w:lastRenderedPageBreak/>
        <w:t xml:space="preserve">Kennedy LJ in </w:t>
      </w:r>
      <w:r w:rsidRPr="00820673">
        <w:rPr>
          <w:i/>
          <w:iCs/>
          <w:szCs w:val="28"/>
        </w:rPr>
        <w:t>Henry.</w:t>
      </w:r>
      <w:r w:rsidRPr="00820673">
        <w:rPr>
          <w:szCs w:val="28"/>
        </w:rPr>
        <w:t xml:space="preserve"> </w:t>
      </w:r>
      <w:r w:rsidR="0076458A">
        <w:rPr>
          <w:szCs w:val="28"/>
        </w:rPr>
        <w:t xml:space="preserve"> </w:t>
      </w:r>
      <w:r w:rsidRPr="00820673">
        <w:rPr>
          <w:szCs w:val="28"/>
        </w:rPr>
        <w:t xml:space="preserve">I acknowledge the consequence that there are practical difficulties which will confront Customs &amp; Excise and, indeed, there may be some uncomfortable decisions </w:t>
      </w:r>
      <w:r w:rsidR="005E77E1" w:rsidRPr="00820673">
        <w:rPr>
          <w:szCs w:val="28"/>
        </w:rPr>
        <w:t>that have to be made by Justices under constraints of time as a result, but I can see no escape from the conclusion that the section only authorises the detention of the property up to the end of 48 hours from seizure.  The moment that 48 hours has elapsed, if there has been no extension</w:t>
      </w:r>
      <w:r w:rsidR="0076458A">
        <w:rPr>
          <w:szCs w:val="28"/>
        </w:rPr>
        <w:t>,</w:t>
      </w:r>
      <w:r w:rsidR="005E77E1" w:rsidRPr="00820673">
        <w:rPr>
          <w:szCs w:val="28"/>
        </w:rPr>
        <w:t xml:space="preserve"> then there is no authority for the continued detention of the money.  In other words, there is no existing authorisation to retain the money which can be extended under s.42.  The problem, it seems to me arises from the fact that Parliament has decided that in this procedure, unlike in some others, the cut-off period should be as draconian as appears on its face."</w:t>
      </w:r>
    </w:p>
    <w:p w14:paraId="138B6103" w14:textId="651560CB" w:rsidR="00820673" w:rsidRDefault="00820673" w:rsidP="00830547">
      <w:pPr>
        <w:pStyle w:val="ListParagraph"/>
        <w:ind w:left="1440" w:right="1440"/>
        <w:jc w:val="both"/>
        <w:rPr>
          <w:szCs w:val="28"/>
        </w:rPr>
      </w:pPr>
    </w:p>
    <w:p w14:paraId="002F2823" w14:textId="77777777" w:rsidR="00820673" w:rsidRDefault="00820673" w:rsidP="00830547">
      <w:pPr>
        <w:pStyle w:val="ListParagraph"/>
        <w:ind w:left="1440" w:right="1440"/>
        <w:jc w:val="both"/>
        <w:rPr>
          <w:szCs w:val="28"/>
        </w:rPr>
      </w:pPr>
    </w:p>
    <w:p w14:paraId="7BCC840E" w14:textId="2A7A752B" w:rsidR="0037379A" w:rsidRPr="002D5D57" w:rsidRDefault="005E77E1" w:rsidP="00830547">
      <w:pPr>
        <w:pStyle w:val="ListParagraph"/>
        <w:numPr>
          <w:ilvl w:val="0"/>
          <w:numId w:val="7"/>
        </w:numPr>
        <w:jc w:val="both"/>
        <w:rPr>
          <w:szCs w:val="28"/>
        </w:rPr>
      </w:pPr>
      <w:r w:rsidRPr="00820673">
        <w:rPr>
          <w:szCs w:val="28"/>
        </w:rPr>
        <w:t xml:space="preserve">Mr </w:t>
      </w:r>
      <w:proofErr w:type="spellStart"/>
      <w:r w:rsidRPr="00820673">
        <w:rPr>
          <w:szCs w:val="28"/>
        </w:rPr>
        <w:t>Rainsbury</w:t>
      </w:r>
      <w:proofErr w:type="spellEnd"/>
      <w:r w:rsidRPr="00820673">
        <w:rPr>
          <w:szCs w:val="28"/>
        </w:rPr>
        <w:t xml:space="preserve"> drew our attention to criticism of the decision in </w:t>
      </w:r>
      <w:r w:rsidRPr="00820673">
        <w:rPr>
          <w:i/>
          <w:iCs/>
          <w:szCs w:val="28"/>
        </w:rPr>
        <w:t>Walsh</w:t>
      </w:r>
      <w:r w:rsidRPr="00820673">
        <w:rPr>
          <w:szCs w:val="28"/>
        </w:rPr>
        <w:t xml:space="preserve"> by the editors of </w:t>
      </w:r>
      <w:r w:rsidRPr="002D5D57">
        <w:rPr>
          <w:i/>
          <w:iCs/>
          <w:szCs w:val="28"/>
        </w:rPr>
        <w:t xml:space="preserve">Mitchell, Taylor &amp; Talbot on </w:t>
      </w:r>
      <w:proofErr w:type="gramStart"/>
      <w:r w:rsidRPr="002D5D57">
        <w:rPr>
          <w:i/>
          <w:iCs/>
          <w:szCs w:val="28"/>
        </w:rPr>
        <w:t>Confiscation</w:t>
      </w:r>
      <w:proofErr w:type="gramEnd"/>
      <w:r w:rsidRPr="002D5D57">
        <w:rPr>
          <w:i/>
          <w:iCs/>
          <w:szCs w:val="28"/>
        </w:rPr>
        <w:t xml:space="preserve"> and the Proceeds of Crime</w:t>
      </w:r>
      <w:r w:rsidRPr="00820673">
        <w:rPr>
          <w:szCs w:val="28"/>
        </w:rPr>
        <w:t>.  They write at para.X009</w:t>
      </w:r>
      <w:r w:rsidR="0037379A" w:rsidRPr="00820673">
        <w:rPr>
          <w:szCs w:val="28"/>
        </w:rPr>
        <w:t>:</w:t>
      </w:r>
      <w:r w:rsidRPr="00820673">
        <w:rPr>
          <w:szCs w:val="28"/>
        </w:rPr>
        <w:t xml:space="preserve"> </w:t>
      </w:r>
    </w:p>
    <w:p w14:paraId="4B704CD0" w14:textId="0852E9D7" w:rsidR="005E77E1" w:rsidRDefault="005E77E1" w:rsidP="00830547">
      <w:pPr>
        <w:pStyle w:val="ListParagraph"/>
        <w:ind w:left="1440" w:right="1440"/>
        <w:jc w:val="both"/>
        <w:rPr>
          <w:szCs w:val="28"/>
        </w:rPr>
      </w:pPr>
      <w:r>
        <w:rPr>
          <w:szCs w:val="28"/>
        </w:rPr>
        <w:t xml:space="preserve">"It is not thought that </w:t>
      </w:r>
      <w:r w:rsidRPr="0037379A">
        <w:rPr>
          <w:i/>
          <w:iCs/>
          <w:szCs w:val="28"/>
        </w:rPr>
        <w:t>Walsh</w:t>
      </w:r>
      <w:r>
        <w:rPr>
          <w:szCs w:val="28"/>
        </w:rPr>
        <w:t xml:space="preserve"> was properly decided.  It is important to note</w:t>
      </w:r>
      <w:r w:rsidR="0037379A">
        <w:rPr>
          <w:szCs w:val="28"/>
        </w:rPr>
        <w:t xml:space="preserve"> that s.295 does not say that the court has no power to order the detention of cash more than 48 hours after it was seized but instead that the officer may not detain the cash for more than 48 hours without an order from the court. </w:t>
      </w:r>
      <w:r w:rsidR="0076458A">
        <w:rPr>
          <w:szCs w:val="28"/>
        </w:rPr>
        <w:t xml:space="preserve"> </w:t>
      </w:r>
      <w:r w:rsidR="0037379A">
        <w:rPr>
          <w:szCs w:val="28"/>
        </w:rPr>
        <w:t xml:space="preserve">In this sort of case it is crucial for the court to achieve a result which is just and in accordance with the intention of Parliament.  There are numerous cases from related jurisprudence which emphasise that the fact that an apparent mandatory procedural requirement has not been met does not deprive the court of jurisdiction to proceed.  None of this line of jurisprudence appears to have been cited in </w:t>
      </w:r>
      <w:r w:rsidR="0037379A">
        <w:rPr>
          <w:i/>
          <w:iCs/>
          <w:szCs w:val="28"/>
        </w:rPr>
        <w:t>Walsh.</w:t>
      </w:r>
      <w:r w:rsidR="0037379A">
        <w:rPr>
          <w:szCs w:val="28"/>
        </w:rPr>
        <w:t xml:space="preserve">  The clear intention of s.295 was to limit the power of the officer to detain to no more than 48 hours, after that if further detention is sought it must be subject to court approval.  It follows that once an application is before the court Parliamentary intention should not be thwarted if the practicalities mean that the court does not, in fact, make its order strictly within the </w:t>
      </w:r>
      <w:proofErr w:type="gramStart"/>
      <w:r w:rsidR="0037379A">
        <w:rPr>
          <w:szCs w:val="28"/>
        </w:rPr>
        <w:t>48 hour</w:t>
      </w:r>
      <w:proofErr w:type="gramEnd"/>
      <w:r w:rsidR="0037379A">
        <w:rPr>
          <w:szCs w:val="28"/>
        </w:rPr>
        <w:t xml:space="preserve"> period."</w:t>
      </w:r>
    </w:p>
    <w:p w14:paraId="692CCA1A" w14:textId="569ECA4D" w:rsidR="0037379A" w:rsidRDefault="0037379A" w:rsidP="00830547">
      <w:pPr>
        <w:pStyle w:val="ListParagraph"/>
        <w:ind w:left="1440" w:right="1440"/>
        <w:jc w:val="both"/>
        <w:rPr>
          <w:szCs w:val="28"/>
        </w:rPr>
      </w:pPr>
    </w:p>
    <w:p w14:paraId="24C3D0E7" w14:textId="77777777" w:rsidR="0037379A" w:rsidRPr="0037379A" w:rsidRDefault="0037379A" w:rsidP="00830547">
      <w:pPr>
        <w:pStyle w:val="ListParagraph"/>
        <w:ind w:left="1440" w:right="1440"/>
        <w:jc w:val="both"/>
        <w:rPr>
          <w:b/>
          <w:bCs/>
          <w:szCs w:val="28"/>
        </w:rPr>
      </w:pPr>
    </w:p>
    <w:p w14:paraId="67BDB55E" w14:textId="7D01F485" w:rsidR="005C3CBA" w:rsidRDefault="00820673" w:rsidP="00830547">
      <w:pPr>
        <w:pStyle w:val="ListParagraph"/>
        <w:numPr>
          <w:ilvl w:val="0"/>
          <w:numId w:val="7"/>
        </w:numPr>
        <w:jc w:val="both"/>
        <w:rPr>
          <w:szCs w:val="28"/>
        </w:rPr>
      </w:pPr>
      <w:r>
        <w:rPr>
          <w:szCs w:val="28"/>
        </w:rPr>
        <w:t xml:space="preserve">With respect, I entirely disagree.  It is not necessary to consider the circumstances in which a Divisional Court can depart from a previous decision of another Divisional Court if the previous case was wrongly decided.   Mr </w:t>
      </w:r>
      <w:proofErr w:type="spellStart"/>
      <w:r>
        <w:rPr>
          <w:szCs w:val="28"/>
        </w:rPr>
        <w:t>Rainsbury</w:t>
      </w:r>
      <w:proofErr w:type="spellEnd"/>
      <w:r>
        <w:rPr>
          <w:szCs w:val="28"/>
        </w:rPr>
        <w:t xml:space="preserve"> did not</w:t>
      </w:r>
      <w:r w:rsidR="005C3CBA">
        <w:rPr>
          <w:szCs w:val="28"/>
        </w:rPr>
        <w:t xml:space="preserve">, in fact, submit in oral argument that </w:t>
      </w:r>
      <w:r w:rsidR="005C3CBA">
        <w:rPr>
          <w:i/>
          <w:iCs/>
          <w:szCs w:val="28"/>
        </w:rPr>
        <w:t xml:space="preserve">Walsh </w:t>
      </w:r>
      <w:r w:rsidR="005C3CBA">
        <w:rPr>
          <w:szCs w:val="28"/>
        </w:rPr>
        <w:t>was wrongly decided but</w:t>
      </w:r>
      <w:r w:rsidR="0076458A">
        <w:rPr>
          <w:szCs w:val="28"/>
        </w:rPr>
        <w:t>,</w:t>
      </w:r>
      <w:r w:rsidR="005C3CBA">
        <w:rPr>
          <w:szCs w:val="28"/>
        </w:rPr>
        <w:t xml:space="preserve"> for my part</w:t>
      </w:r>
      <w:r w:rsidR="0076458A">
        <w:rPr>
          <w:szCs w:val="28"/>
        </w:rPr>
        <w:t>,</w:t>
      </w:r>
      <w:r w:rsidR="005C3CBA">
        <w:rPr>
          <w:szCs w:val="28"/>
        </w:rPr>
        <w:t xml:space="preserve"> I ha</w:t>
      </w:r>
      <w:r w:rsidR="002D5D57">
        <w:rPr>
          <w:szCs w:val="28"/>
        </w:rPr>
        <w:t>ve</w:t>
      </w:r>
      <w:r w:rsidR="005C3CBA">
        <w:rPr>
          <w:szCs w:val="28"/>
        </w:rPr>
        <w:t xml:space="preserve"> no doubt that it was correctly decided.  Moreover, even if the matter were free from authority</w:t>
      </w:r>
      <w:r w:rsidR="002D5D57">
        <w:rPr>
          <w:szCs w:val="28"/>
        </w:rPr>
        <w:t>,</w:t>
      </w:r>
      <w:r w:rsidR="005C3CBA">
        <w:rPr>
          <w:szCs w:val="28"/>
        </w:rPr>
        <w:t xml:space="preserve"> it seems to me that the construction for which HMRC argue in the present case is contrary to the natural meaning of the </w:t>
      </w:r>
      <w:r w:rsidR="002D5D57">
        <w:rPr>
          <w:szCs w:val="28"/>
        </w:rPr>
        <w:t>s</w:t>
      </w:r>
      <w:r w:rsidR="005C3CBA">
        <w:rPr>
          <w:szCs w:val="28"/>
        </w:rPr>
        <w:t>tatute.  Section 295(2) uses the word "extended".  I do not accept that Parliament was using the word in anything other than its natural meaning</w:t>
      </w:r>
      <w:r w:rsidR="002D5D57">
        <w:rPr>
          <w:szCs w:val="28"/>
        </w:rPr>
        <w:t>,</w:t>
      </w:r>
      <w:r w:rsidR="005C3CBA">
        <w:rPr>
          <w:szCs w:val="28"/>
        </w:rPr>
        <w:t xml:space="preserve"> which is that the decision must be made before the original period expires.  </w:t>
      </w:r>
      <w:r w:rsidR="002D5D57">
        <w:rPr>
          <w:szCs w:val="28"/>
        </w:rPr>
        <w:t>Otherwise the so-called extension is retrospective.</w:t>
      </w:r>
    </w:p>
    <w:p w14:paraId="058497FC" w14:textId="77777777" w:rsidR="005C3CBA" w:rsidRDefault="005C3CBA" w:rsidP="00830547">
      <w:pPr>
        <w:pStyle w:val="ListParagraph"/>
        <w:ind w:left="900"/>
        <w:jc w:val="both"/>
        <w:rPr>
          <w:szCs w:val="28"/>
        </w:rPr>
      </w:pPr>
    </w:p>
    <w:p w14:paraId="28582AE8" w14:textId="3F7B126E" w:rsidR="005C3CBA" w:rsidRDefault="005C3CBA" w:rsidP="00830547">
      <w:pPr>
        <w:pStyle w:val="ListParagraph"/>
        <w:numPr>
          <w:ilvl w:val="0"/>
          <w:numId w:val="7"/>
        </w:numPr>
        <w:jc w:val="both"/>
        <w:rPr>
          <w:szCs w:val="28"/>
        </w:rPr>
      </w:pPr>
      <w:r>
        <w:rPr>
          <w:szCs w:val="28"/>
        </w:rPr>
        <w:t xml:space="preserve">The wording of the </w:t>
      </w:r>
      <w:r w:rsidR="002D5D57">
        <w:rPr>
          <w:szCs w:val="28"/>
        </w:rPr>
        <w:t>s</w:t>
      </w:r>
      <w:r>
        <w:rPr>
          <w:szCs w:val="28"/>
        </w:rPr>
        <w:t xml:space="preserve">tatutes considered in the case of </w:t>
      </w:r>
      <w:r>
        <w:rPr>
          <w:i/>
          <w:iCs/>
          <w:szCs w:val="28"/>
        </w:rPr>
        <w:t>Henry</w:t>
      </w:r>
      <w:r>
        <w:rPr>
          <w:szCs w:val="28"/>
        </w:rPr>
        <w:t xml:space="preserve"> and </w:t>
      </w:r>
      <w:r>
        <w:rPr>
          <w:i/>
          <w:iCs/>
          <w:szCs w:val="28"/>
        </w:rPr>
        <w:t>Walsh</w:t>
      </w:r>
      <w:r>
        <w:rPr>
          <w:szCs w:val="28"/>
        </w:rPr>
        <w:t xml:space="preserve"> was, as already pointed out, not identical, but there the critical word was "continued".   Latham LJ, as already indicated, said that the wording of s.42(2) of the Drug Trafficking Act 1994 precluded any </w:t>
      </w:r>
      <w:r w:rsidR="0076458A">
        <w:rPr>
          <w:szCs w:val="28"/>
        </w:rPr>
        <w:t>J</w:t>
      </w:r>
      <w:r>
        <w:rPr>
          <w:szCs w:val="28"/>
        </w:rPr>
        <w:t xml:space="preserve">ustice from making any order authorising the continued detention of any cash after the end of the </w:t>
      </w:r>
      <w:proofErr w:type="gramStart"/>
      <w:r>
        <w:rPr>
          <w:szCs w:val="28"/>
        </w:rPr>
        <w:t>48 hour</w:t>
      </w:r>
      <w:proofErr w:type="gramEnd"/>
      <w:r>
        <w:rPr>
          <w:szCs w:val="28"/>
        </w:rPr>
        <w:t xml:space="preserve"> period.  As he said: </w:t>
      </w:r>
    </w:p>
    <w:p w14:paraId="237AC010" w14:textId="77777777" w:rsidR="005C3CBA" w:rsidRDefault="005C3CBA" w:rsidP="00830547">
      <w:pPr>
        <w:pStyle w:val="ListParagraph"/>
        <w:ind w:left="900"/>
        <w:jc w:val="both"/>
        <w:rPr>
          <w:szCs w:val="28"/>
        </w:rPr>
      </w:pPr>
    </w:p>
    <w:p w14:paraId="6D33B5B2" w14:textId="2A8EE8E9" w:rsidR="005C3CBA" w:rsidRDefault="005C3CBA" w:rsidP="00830547">
      <w:pPr>
        <w:pStyle w:val="ListParagraph"/>
        <w:ind w:left="1440" w:right="1440"/>
        <w:jc w:val="both"/>
        <w:rPr>
          <w:szCs w:val="28"/>
        </w:rPr>
      </w:pPr>
      <w:r>
        <w:rPr>
          <w:szCs w:val="28"/>
        </w:rPr>
        <w:t>"The moment that 48 hours has elapsed</w:t>
      </w:r>
      <w:r w:rsidR="0076458A">
        <w:rPr>
          <w:szCs w:val="28"/>
        </w:rPr>
        <w:t xml:space="preserve"> </w:t>
      </w:r>
      <w:r>
        <w:rPr>
          <w:szCs w:val="28"/>
        </w:rPr>
        <w:t>if there has been no extension then there is no authority for the continued detention of that money."</w:t>
      </w:r>
    </w:p>
    <w:p w14:paraId="681011DD" w14:textId="4B8A4711" w:rsidR="005C3CBA" w:rsidRDefault="005C3CBA" w:rsidP="00830547">
      <w:pPr>
        <w:pStyle w:val="ListParagraph"/>
        <w:ind w:left="1440" w:right="1440"/>
        <w:jc w:val="both"/>
        <w:rPr>
          <w:szCs w:val="28"/>
        </w:rPr>
      </w:pPr>
    </w:p>
    <w:p w14:paraId="0B6377D6" w14:textId="271A4935" w:rsidR="00431234" w:rsidRDefault="00B22BC3" w:rsidP="00830547">
      <w:pPr>
        <w:pStyle w:val="ListParagraph"/>
        <w:ind w:left="900"/>
        <w:jc w:val="both"/>
        <w:rPr>
          <w:szCs w:val="28"/>
        </w:rPr>
      </w:pPr>
      <w:r>
        <w:rPr>
          <w:szCs w:val="28"/>
        </w:rPr>
        <w:t>In my judgment, the same applied at midnight</w:t>
      </w:r>
      <w:r w:rsidR="0076458A">
        <w:rPr>
          <w:szCs w:val="28"/>
        </w:rPr>
        <w:t xml:space="preserve"> </w:t>
      </w:r>
      <w:r>
        <w:rPr>
          <w:szCs w:val="28"/>
        </w:rPr>
        <w:t xml:space="preserve">or close of business on 3 April 2020 when the </w:t>
      </w:r>
      <w:proofErr w:type="gramStart"/>
      <w:r>
        <w:rPr>
          <w:szCs w:val="28"/>
        </w:rPr>
        <w:t>six month</w:t>
      </w:r>
      <w:proofErr w:type="gramEnd"/>
      <w:r>
        <w:rPr>
          <w:szCs w:val="28"/>
        </w:rPr>
        <w:t xml:space="preserve"> period expired.  The scheme of the 2002 Act and the rules made under it are that initially cash may be seized without any court process at all.  Within 48 hours authority must be obtained from a </w:t>
      </w:r>
      <w:r w:rsidR="002D5D57">
        <w:rPr>
          <w:szCs w:val="28"/>
        </w:rPr>
        <w:t>j</w:t>
      </w:r>
      <w:r>
        <w:rPr>
          <w:szCs w:val="28"/>
        </w:rPr>
        <w:t xml:space="preserve">ustice of the </w:t>
      </w:r>
      <w:r w:rsidR="002D5D57">
        <w:rPr>
          <w:szCs w:val="28"/>
        </w:rPr>
        <w:t>p</w:t>
      </w:r>
      <w:r>
        <w:rPr>
          <w:szCs w:val="28"/>
        </w:rPr>
        <w:t xml:space="preserve">eace, without notice having to be given to the respondent, for the cash to be held for a further six months, but that if further extensions are sought after that, there must be a hearing arranged on at least seven days' notice to the respondent to justify any extension beyond the </w:t>
      </w:r>
      <w:proofErr w:type="gramStart"/>
      <w:r>
        <w:rPr>
          <w:szCs w:val="28"/>
        </w:rPr>
        <w:t>six month</w:t>
      </w:r>
      <w:proofErr w:type="gramEnd"/>
      <w:r>
        <w:rPr>
          <w:szCs w:val="28"/>
        </w:rPr>
        <w:t xml:space="preserve"> date. </w:t>
      </w:r>
    </w:p>
    <w:p w14:paraId="200A1DDC" w14:textId="77777777" w:rsidR="00B22BC3" w:rsidRDefault="00B22BC3" w:rsidP="00830547">
      <w:pPr>
        <w:pStyle w:val="ListParagraph"/>
        <w:ind w:left="900"/>
        <w:jc w:val="both"/>
        <w:rPr>
          <w:szCs w:val="28"/>
        </w:rPr>
      </w:pPr>
    </w:p>
    <w:p w14:paraId="46133B50" w14:textId="1F80CB57" w:rsidR="00431234" w:rsidRDefault="00B22BC3" w:rsidP="00830547">
      <w:pPr>
        <w:pStyle w:val="ListParagraph"/>
        <w:numPr>
          <w:ilvl w:val="0"/>
          <w:numId w:val="7"/>
        </w:numPr>
        <w:jc w:val="both"/>
        <w:rPr>
          <w:szCs w:val="28"/>
        </w:rPr>
      </w:pPr>
      <w:r>
        <w:rPr>
          <w:szCs w:val="28"/>
        </w:rPr>
        <w:t xml:space="preserve">The editors of </w:t>
      </w:r>
      <w:r w:rsidRPr="002D5D57">
        <w:rPr>
          <w:i/>
          <w:iCs/>
          <w:szCs w:val="28"/>
        </w:rPr>
        <w:t>Mitchell, Taylor &amp; Talbot</w:t>
      </w:r>
      <w:r>
        <w:rPr>
          <w:szCs w:val="28"/>
        </w:rPr>
        <w:t xml:space="preserve"> refer</w:t>
      </w:r>
      <w:r w:rsidR="002D5D57">
        <w:rPr>
          <w:szCs w:val="28"/>
        </w:rPr>
        <w:t xml:space="preserve">, </w:t>
      </w:r>
      <w:r>
        <w:rPr>
          <w:szCs w:val="28"/>
        </w:rPr>
        <w:t xml:space="preserve">in footnotes to the passage which I have cited, to a variety of other cases in which, under different </w:t>
      </w:r>
      <w:r w:rsidR="002D5D57">
        <w:rPr>
          <w:szCs w:val="28"/>
        </w:rPr>
        <w:t>s</w:t>
      </w:r>
      <w:r>
        <w:rPr>
          <w:szCs w:val="28"/>
        </w:rPr>
        <w:t xml:space="preserve">tatutes, time limits have been held not to be binding.  </w:t>
      </w:r>
      <w:r w:rsidR="0069177A">
        <w:rPr>
          <w:szCs w:val="28"/>
        </w:rPr>
        <w:t xml:space="preserve">There are many cases going each way in both criminal and civil jurisdictions </w:t>
      </w:r>
      <w:bookmarkStart w:id="1" w:name="_Hlk70442445"/>
      <w:r w:rsidR="0069177A">
        <w:rPr>
          <w:szCs w:val="28"/>
        </w:rPr>
        <w:t xml:space="preserve">Mr </w:t>
      </w:r>
      <w:proofErr w:type="spellStart"/>
      <w:r w:rsidR="0069177A">
        <w:rPr>
          <w:szCs w:val="28"/>
        </w:rPr>
        <w:t>Rainsbury</w:t>
      </w:r>
      <w:proofErr w:type="spellEnd"/>
      <w:r w:rsidR="0069177A">
        <w:rPr>
          <w:szCs w:val="28"/>
        </w:rPr>
        <w:t xml:space="preserve"> referred us to </w:t>
      </w:r>
      <w:r w:rsidR="0069177A">
        <w:rPr>
          <w:i/>
          <w:iCs/>
          <w:szCs w:val="28"/>
        </w:rPr>
        <w:t>R v</w:t>
      </w:r>
      <w:r>
        <w:rPr>
          <w:szCs w:val="28"/>
        </w:rPr>
        <w:t xml:space="preserve"> </w:t>
      </w:r>
      <w:r>
        <w:rPr>
          <w:i/>
          <w:iCs/>
          <w:szCs w:val="28"/>
        </w:rPr>
        <w:t>She</w:t>
      </w:r>
      <w:r w:rsidR="00175524">
        <w:rPr>
          <w:i/>
          <w:iCs/>
          <w:szCs w:val="28"/>
        </w:rPr>
        <w:t>e</w:t>
      </w:r>
      <w:r>
        <w:rPr>
          <w:i/>
          <w:iCs/>
          <w:szCs w:val="28"/>
        </w:rPr>
        <w:t>rin</w:t>
      </w:r>
      <w:r w:rsidR="0069177A">
        <w:rPr>
          <w:i/>
          <w:iCs/>
          <w:szCs w:val="28"/>
        </w:rPr>
        <w:t xml:space="preserve"> </w:t>
      </w:r>
      <w:r w:rsidR="0069177A">
        <w:rPr>
          <w:szCs w:val="28"/>
        </w:rPr>
        <w:t>(19</w:t>
      </w:r>
      <w:r w:rsidR="00BC2297">
        <w:rPr>
          <w:szCs w:val="28"/>
        </w:rPr>
        <w:t xml:space="preserve">77) 64 </w:t>
      </w:r>
      <w:proofErr w:type="spellStart"/>
      <w:r w:rsidR="00BC2297">
        <w:rPr>
          <w:szCs w:val="28"/>
        </w:rPr>
        <w:t>Cr.App.R</w:t>
      </w:r>
      <w:proofErr w:type="spellEnd"/>
      <w:r w:rsidR="00BC2297">
        <w:rPr>
          <w:szCs w:val="28"/>
        </w:rPr>
        <w:t xml:space="preserve"> 68</w:t>
      </w:r>
      <w:r w:rsidR="002D5D57">
        <w:rPr>
          <w:i/>
          <w:iCs/>
          <w:szCs w:val="28"/>
        </w:rPr>
        <w:t>,</w:t>
      </w:r>
      <w:r>
        <w:rPr>
          <w:szCs w:val="28"/>
        </w:rPr>
        <w:t xml:space="preserve"> involving a construction of a provision which </w:t>
      </w:r>
      <w:r w:rsidR="00175524">
        <w:rPr>
          <w:szCs w:val="28"/>
        </w:rPr>
        <w:t>provides that material must be served within 28 days of an indictment being deferred</w:t>
      </w:r>
      <w:bookmarkEnd w:id="1"/>
      <w:r w:rsidR="00175524">
        <w:rPr>
          <w:szCs w:val="28"/>
        </w:rPr>
        <w:t xml:space="preserve">, or such further period as a judge may allow.  </w:t>
      </w:r>
      <w:r w:rsidR="00BC2297">
        <w:rPr>
          <w:szCs w:val="28"/>
        </w:rPr>
        <w:t>The Court of Appeal</w:t>
      </w:r>
      <w:r w:rsidR="00175524">
        <w:rPr>
          <w:szCs w:val="28"/>
        </w:rPr>
        <w:t xml:space="preserve"> held, unsurprisingly, tha</w:t>
      </w:r>
      <w:r w:rsidR="00BC2297">
        <w:rPr>
          <w:szCs w:val="28"/>
        </w:rPr>
        <w:t xml:space="preserve">t this </w:t>
      </w:r>
      <w:r w:rsidR="00175524">
        <w:rPr>
          <w:szCs w:val="28"/>
        </w:rPr>
        <w:t xml:space="preserve">wording permitted a judge to allow a further period, even if the judge's decision comes after the </w:t>
      </w:r>
      <w:proofErr w:type="gramStart"/>
      <w:r w:rsidR="00175524">
        <w:rPr>
          <w:szCs w:val="28"/>
        </w:rPr>
        <w:t>28 day</w:t>
      </w:r>
      <w:proofErr w:type="gramEnd"/>
      <w:r w:rsidR="00175524">
        <w:rPr>
          <w:szCs w:val="28"/>
        </w:rPr>
        <w:t xml:space="preserve"> period has elapsed.  </w:t>
      </w:r>
      <w:r w:rsidR="00960CD6">
        <w:rPr>
          <w:szCs w:val="28"/>
        </w:rPr>
        <w:t xml:space="preserve">An example the other way, to which </w:t>
      </w:r>
      <w:r w:rsidR="00960CD6" w:rsidRPr="002D5D57">
        <w:rPr>
          <w:i/>
          <w:iCs/>
          <w:szCs w:val="28"/>
        </w:rPr>
        <w:t>Mitchell, Taylor and Talbot</w:t>
      </w:r>
      <w:r w:rsidR="00960CD6">
        <w:rPr>
          <w:szCs w:val="28"/>
        </w:rPr>
        <w:t xml:space="preserve"> do not refer, is the decision of the House of Lords</w:t>
      </w:r>
      <w:r w:rsidR="0099185F">
        <w:rPr>
          <w:szCs w:val="28"/>
        </w:rPr>
        <w:t xml:space="preserve"> in</w:t>
      </w:r>
      <w:r w:rsidR="0099185F">
        <w:rPr>
          <w:i/>
          <w:iCs/>
          <w:szCs w:val="28"/>
        </w:rPr>
        <w:t xml:space="preserve"> R v Weir</w:t>
      </w:r>
      <w:r w:rsidR="0099185F">
        <w:rPr>
          <w:szCs w:val="28"/>
        </w:rPr>
        <w:t xml:space="preserve"> [2001] 2 All ER 216.</w:t>
      </w:r>
      <w:r w:rsidR="00A226B0">
        <w:rPr>
          <w:szCs w:val="28"/>
        </w:rPr>
        <w:t xml:space="preserve">  The Court of Appeal, Criminal Division, had allowed Mr Weir's appeal against his conviction for murder on grounds which were subsequently held by the House of Lords to be erroneous.  The Director of Public Prosecutions petitioned the House of Lords for permission to appeal but lodged his petition one day late.  Their Lordships held that they simply had no power to grant an extension of time beyond the </w:t>
      </w:r>
      <w:proofErr w:type="gramStart"/>
      <w:r w:rsidR="00A226B0">
        <w:rPr>
          <w:szCs w:val="28"/>
        </w:rPr>
        <w:t>14 day</w:t>
      </w:r>
      <w:proofErr w:type="gramEnd"/>
      <w:r w:rsidR="00A226B0">
        <w:rPr>
          <w:szCs w:val="28"/>
        </w:rPr>
        <w:t xml:space="preserve"> period which </w:t>
      </w:r>
      <w:r w:rsidR="00BC2297">
        <w:rPr>
          <w:szCs w:val="28"/>
        </w:rPr>
        <w:t xml:space="preserve">Parliament </w:t>
      </w:r>
      <w:r w:rsidR="00A226B0">
        <w:rPr>
          <w:szCs w:val="28"/>
        </w:rPr>
        <w:t>had provided was the period within which an application for leave to appeal had to be made.</w:t>
      </w:r>
      <w:r w:rsidR="00D863E0">
        <w:rPr>
          <w:szCs w:val="28"/>
        </w:rPr>
        <w:t xml:space="preserve">  That is not binding on us in the present case; it simply goes to show that authority for or against the mandatory nature of </w:t>
      </w:r>
      <w:r w:rsidR="00540F00">
        <w:rPr>
          <w:szCs w:val="28"/>
        </w:rPr>
        <w:t>a</w:t>
      </w:r>
      <w:r w:rsidR="00D863E0">
        <w:rPr>
          <w:szCs w:val="28"/>
        </w:rPr>
        <w:t xml:space="preserve"> time limit is not generally helpful when directed to an entirely different </w:t>
      </w:r>
      <w:r w:rsidR="002D5D57">
        <w:rPr>
          <w:szCs w:val="28"/>
        </w:rPr>
        <w:t>s</w:t>
      </w:r>
      <w:r w:rsidR="00D863E0">
        <w:rPr>
          <w:szCs w:val="28"/>
        </w:rPr>
        <w:t>tatute.</w:t>
      </w:r>
    </w:p>
    <w:p w14:paraId="589124EE" w14:textId="77777777" w:rsidR="00D863E0" w:rsidRDefault="00D863E0" w:rsidP="00830547">
      <w:pPr>
        <w:pStyle w:val="ListParagraph"/>
        <w:ind w:left="900"/>
        <w:jc w:val="both"/>
        <w:rPr>
          <w:szCs w:val="28"/>
        </w:rPr>
      </w:pPr>
    </w:p>
    <w:p w14:paraId="7E78E344" w14:textId="43A02228" w:rsidR="00431234" w:rsidRDefault="00D863E0" w:rsidP="00830547">
      <w:pPr>
        <w:pStyle w:val="ListParagraph"/>
        <w:numPr>
          <w:ilvl w:val="0"/>
          <w:numId w:val="7"/>
        </w:numPr>
        <w:jc w:val="both"/>
        <w:rPr>
          <w:szCs w:val="28"/>
        </w:rPr>
      </w:pPr>
      <w:r>
        <w:rPr>
          <w:szCs w:val="28"/>
        </w:rPr>
        <w:t xml:space="preserve">Mr </w:t>
      </w:r>
      <w:proofErr w:type="spellStart"/>
      <w:r>
        <w:rPr>
          <w:szCs w:val="28"/>
        </w:rPr>
        <w:t>Rainsbury</w:t>
      </w:r>
      <w:proofErr w:type="spellEnd"/>
      <w:r>
        <w:rPr>
          <w:szCs w:val="28"/>
        </w:rPr>
        <w:t xml:space="preserve"> submits that the provisions in s.297D(5) and s.298(2) of  the 2002 Act support his case.  But, with respect, I consider that they are clearly against him.  In s.298(2) Parliament provided that when an application for forfeiture has been made to a Magistrates' Court the cash is to be detained until court proceedings are concluded.  When the forfeiture by notice pro</w:t>
      </w:r>
      <w:r w:rsidR="00BC2297">
        <w:rPr>
          <w:szCs w:val="28"/>
        </w:rPr>
        <w:t>cedure was</w:t>
      </w:r>
      <w:r>
        <w:rPr>
          <w:szCs w:val="28"/>
        </w:rPr>
        <w:t xml:space="preserve"> introduced by the 2009 Act a similar provision was made in s.297D(5).  But neither in 2002, nor in 2009, did Parliament make any amendment to s.295 to ensure that when an application is made for an order under s.295(2), extending the period for which cash may be detained, the same kind of holding provision should apply.  Parliament must, in my view, therefore, be taken to have been content with the strict approach which this court had taken in the cases of </w:t>
      </w:r>
      <w:r>
        <w:rPr>
          <w:i/>
          <w:iCs/>
          <w:szCs w:val="28"/>
        </w:rPr>
        <w:t>Henry</w:t>
      </w:r>
      <w:r>
        <w:rPr>
          <w:szCs w:val="28"/>
        </w:rPr>
        <w:t xml:space="preserve"> and </w:t>
      </w:r>
      <w:r>
        <w:rPr>
          <w:i/>
          <w:iCs/>
          <w:szCs w:val="28"/>
        </w:rPr>
        <w:t>Walsh</w:t>
      </w:r>
      <w:r>
        <w:rPr>
          <w:szCs w:val="28"/>
        </w:rPr>
        <w:t xml:space="preserve"> </w:t>
      </w:r>
      <w:r w:rsidR="00F40F7B">
        <w:rPr>
          <w:szCs w:val="28"/>
        </w:rPr>
        <w:t>to statutory powers which, though not identically worded, are</w:t>
      </w:r>
      <w:r w:rsidR="00BC2297">
        <w:rPr>
          <w:szCs w:val="28"/>
        </w:rPr>
        <w:t xml:space="preserve"> </w:t>
      </w:r>
      <w:r w:rsidR="00F40F7B">
        <w:rPr>
          <w:szCs w:val="28"/>
        </w:rPr>
        <w:t>not materially different.</w:t>
      </w:r>
    </w:p>
    <w:p w14:paraId="4F0726A4" w14:textId="77777777" w:rsidR="00F40F7B" w:rsidRDefault="00F40F7B" w:rsidP="00830547">
      <w:pPr>
        <w:pStyle w:val="ListParagraph"/>
        <w:ind w:left="900"/>
        <w:jc w:val="both"/>
        <w:rPr>
          <w:szCs w:val="28"/>
        </w:rPr>
      </w:pPr>
    </w:p>
    <w:p w14:paraId="4FF3BFC2" w14:textId="4383DED5" w:rsidR="00D863E0" w:rsidRDefault="00F40F7B" w:rsidP="00830547">
      <w:pPr>
        <w:pStyle w:val="ListParagraph"/>
        <w:numPr>
          <w:ilvl w:val="0"/>
          <w:numId w:val="7"/>
        </w:numPr>
        <w:jc w:val="both"/>
        <w:rPr>
          <w:szCs w:val="28"/>
        </w:rPr>
      </w:pPr>
      <w:r>
        <w:rPr>
          <w:szCs w:val="28"/>
        </w:rPr>
        <w:t xml:space="preserve">Mr </w:t>
      </w:r>
      <w:proofErr w:type="spellStart"/>
      <w:r>
        <w:rPr>
          <w:szCs w:val="28"/>
        </w:rPr>
        <w:t>Rainsbury</w:t>
      </w:r>
      <w:proofErr w:type="spellEnd"/>
      <w:r>
        <w:rPr>
          <w:szCs w:val="28"/>
        </w:rPr>
        <w:t xml:space="preserve">, whose presentation of the case has been exemplary, and has </w:t>
      </w:r>
      <w:proofErr w:type="gramStart"/>
      <w:r>
        <w:rPr>
          <w:szCs w:val="28"/>
        </w:rPr>
        <w:t>taken into account</w:t>
      </w:r>
      <w:proofErr w:type="gramEnd"/>
      <w:r>
        <w:rPr>
          <w:szCs w:val="28"/>
        </w:rPr>
        <w:t xml:space="preserve"> the fact that the respondent has not been represented before us, drew to our attention two further cases: </w:t>
      </w:r>
      <w:r>
        <w:rPr>
          <w:i/>
          <w:iCs/>
          <w:szCs w:val="28"/>
        </w:rPr>
        <w:t>Chief Constable of Merseyside Police v Hickman and Preston</w:t>
      </w:r>
      <w:r>
        <w:rPr>
          <w:szCs w:val="28"/>
        </w:rPr>
        <w:t xml:space="preserve"> [2006] EWHC 451 (Admin), a decision of Mitting J, and </w:t>
      </w:r>
      <w:r>
        <w:rPr>
          <w:i/>
          <w:iCs/>
          <w:szCs w:val="28"/>
        </w:rPr>
        <w:t>Iqbal v South Bedfordshire Magistrates' Court</w:t>
      </w:r>
      <w:r>
        <w:rPr>
          <w:szCs w:val="28"/>
        </w:rPr>
        <w:t xml:space="preserve"> [2011] EWHC 705 (Admin), a decision of a Divisional Court comprising Pill LJ and </w:t>
      </w:r>
      <w:proofErr w:type="spellStart"/>
      <w:r w:rsidR="00655BE6">
        <w:rPr>
          <w:szCs w:val="28"/>
        </w:rPr>
        <w:t>Supperstone</w:t>
      </w:r>
      <w:proofErr w:type="spellEnd"/>
      <w:r w:rsidR="00655BE6">
        <w:rPr>
          <w:szCs w:val="28"/>
        </w:rPr>
        <w:t xml:space="preserve"> J.  Each of these cases is authority for the proposition that where cash has been seized by the police under the Police and Criminal Evidence Act 1984, but subsequently the authority to detain it under the 1984 Act has lapsed</w:t>
      </w:r>
      <w:r w:rsidR="00E00F30">
        <w:rPr>
          <w:szCs w:val="28"/>
        </w:rPr>
        <w:t>, i</w:t>
      </w:r>
      <w:r w:rsidR="00655BE6">
        <w:rPr>
          <w:szCs w:val="28"/>
        </w:rPr>
        <w:t xml:space="preserve">t is lawful for it to be re-seized under the provisions of the Proceeds of Crime Act 2002.  </w:t>
      </w:r>
    </w:p>
    <w:p w14:paraId="327F3B1B" w14:textId="77777777" w:rsidR="00655BE6" w:rsidRDefault="00655BE6" w:rsidP="00830547">
      <w:pPr>
        <w:pStyle w:val="ListParagraph"/>
        <w:ind w:left="900"/>
        <w:jc w:val="both"/>
        <w:rPr>
          <w:szCs w:val="28"/>
        </w:rPr>
      </w:pPr>
    </w:p>
    <w:p w14:paraId="5C36630A" w14:textId="14FE77F7" w:rsidR="00D863E0" w:rsidRDefault="00655BE6" w:rsidP="00830547">
      <w:pPr>
        <w:pStyle w:val="ListParagraph"/>
        <w:numPr>
          <w:ilvl w:val="0"/>
          <w:numId w:val="7"/>
        </w:numPr>
        <w:jc w:val="both"/>
        <w:rPr>
          <w:szCs w:val="28"/>
        </w:rPr>
      </w:pPr>
      <w:r>
        <w:rPr>
          <w:szCs w:val="28"/>
        </w:rPr>
        <w:t xml:space="preserve">In the present case, HMRC, we are told, took the view that if, following the decision of District Judge Green, they had simply re-seized the cash, that might be perceived as an abuse of process or, at any rate, somewhat disrespectful to </w:t>
      </w:r>
      <w:r w:rsidR="005B4C31">
        <w:rPr>
          <w:szCs w:val="28"/>
        </w:rPr>
        <w:t xml:space="preserve">the court.  Mr </w:t>
      </w:r>
      <w:proofErr w:type="spellStart"/>
      <w:r w:rsidR="005B4C31">
        <w:rPr>
          <w:szCs w:val="28"/>
        </w:rPr>
        <w:t>Rainsbury</w:t>
      </w:r>
      <w:proofErr w:type="spellEnd"/>
      <w:r w:rsidR="005B4C31">
        <w:rPr>
          <w:szCs w:val="28"/>
        </w:rPr>
        <w:t xml:space="preserve">, wearing his </w:t>
      </w:r>
      <w:r w:rsidR="005B4C31">
        <w:rPr>
          <w:szCs w:val="28"/>
        </w:rPr>
        <w:lastRenderedPageBreak/>
        <w:t xml:space="preserve">hat of presenting arguments which might have been advanced on behalf of the respondent, says that it might have been argued that if the decisions in the </w:t>
      </w:r>
      <w:r w:rsidR="005B4C31">
        <w:rPr>
          <w:i/>
          <w:iCs/>
          <w:szCs w:val="28"/>
        </w:rPr>
        <w:t>Hickman</w:t>
      </w:r>
      <w:r w:rsidR="005B4C31">
        <w:rPr>
          <w:szCs w:val="28"/>
        </w:rPr>
        <w:t xml:space="preserve"> and</w:t>
      </w:r>
      <w:r w:rsidR="005B4C31">
        <w:rPr>
          <w:i/>
          <w:iCs/>
          <w:szCs w:val="28"/>
        </w:rPr>
        <w:t xml:space="preserve"> Iqbal </w:t>
      </w:r>
      <w:r w:rsidR="005B4C31">
        <w:rPr>
          <w:szCs w:val="28"/>
        </w:rPr>
        <w:t xml:space="preserve">cases apply by analogy, it </w:t>
      </w:r>
      <w:r w:rsidR="00BC2297">
        <w:rPr>
          <w:szCs w:val="28"/>
        </w:rPr>
        <w:t>could</w:t>
      </w:r>
      <w:r w:rsidR="005B4C31">
        <w:rPr>
          <w:szCs w:val="28"/>
        </w:rPr>
        <w:t xml:space="preserve"> be said that a re-seizure power is available to the Commissioners in the present case, in which case the public policy arguments which he says justify the prosecution's construction of s.295(2), may not involve such drastic consequences after all.  </w:t>
      </w:r>
    </w:p>
    <w:p w14:paraId="6CDD1EE7" w14:textId="77777777" w:rsidR="005B4C31" w:rsidRDefault="005B4C31" w:rsidP="00830547">
      <w:pPr>
        <w:pStyle w:val="ListParagraph"/>
        <w:ind w:left="900"/>
        <w:jc w:val="both"/>
        <w:rPr>
          <w:szCs w:val="28"/>
        </w:rPr>
      </w:pPr>
    </w:p>
    <w:p w14:paraId="23A78BC1" w14:textId="658D460A" w:rsidR="00D863E0" w:rsidRDefault="005B4C31" w:rsidP="00830547">
      <w:pPr>
        <w:pStyle w:val="ListParagraph"/>
        <w:numPr>
          <w:ilvl w:val="0"/>
          <w:numId w:val="7"/>
        </w:numPr>
        <w:jc w:val="both"/>
        <w:rPr>
          <w:szCs w:val="28"/>
        </w:rPr>
      </w:pPr>
      <w:r>
        <w:rPr>
          <w:szCs w:val="28"/>
        </w:rPr>
        <w:t xml:space="preserve">We are in no position to say </w:t>
      </w:r>
      <w:r w:rsidR="00850EE3">
        <w:rPr>
          <w:szCs w:val="28"/>
        </w:rPr>
        <w:t xml:space="preserve">whether it would be an abuse of process for the Commissioners to re-seize cash in a case such as the present, where </w:t>
      </w:r>
      <w:r w:rsidR="00BC2297">
        <w:rPr>
          <w:szCs w:val="28"/>
        </w:rPr>
        <w:t xml:space="preserve">(i) </w:t>
      </w:r>
      <w:r w:rsidR="00850EE3">
        <w:rPr>
          <w:szCs w:val="28"/>
        </w:rPr>
        <w:t>an application has been lodged with the court for continued detention</w:t>
      </w:r>
      <w:r w:rsidR="00BC2297">
        <w:rPr>
          <w:szCs w:val="28"/>
        </w:rPr>
        <w:t>; (ii) t</w:t>
      </w:r>
      <w:r w:rsidR="00850EE3">
        <w:rPr>
          <w:szCs w:val="28"/>
        </w:rPr>
        <w:t>hrough no fault of the Commissioners</w:t>
      </w:r>
      <w:r w:rsidR="00BC2297">
        <w:rPr>
          <w:szCs w:val="28"/>
        </w:rPr>
        <w:t>,</w:t>
      </w:r>
      <w:r w:rsidR="00850EE3">
        <w:rPr>
          <w:szCs w:val="28"/>
        </w:rPr>
        <w:t xml:space="preserve"> the application is not listed until the authorised period of detention expires</w:t>
      </w:r>
      <w:r w:rsidR="00BC2297">
        <w:rPr>
          <w:szCs w:val="28"/>
        </w:rPr>
        <w:t>;</w:t>
      </w:r>
      <w:r w:rsidR="00850EE3">
        <w:rPr>
          <w:szCs w:val="28"/>
        </w:rPr>
        <w:t xml:space="preserve"> and then</w:t>
      </w:r>
      <w:r w:rsidR="00BC2297">
        <w:rPr>
          <w:szCs w:val="28"/>
        </w:rPr>
        <w:t xml:space="preserve"> (iii)</w:t>
      </w:r>
      <w:r w:rsidR="00850EE3">
        <w:rPr>
          <w:szCs w:val="28"/>
        </w:rPr>
        <w:t xml:space="preserve"> as the District Judge has held, </w:t>
      </w:r>
      <w:r w:rsidR="00BC2297">
        <w:rPr>
          <w:szCs w:val="28"/>
        </w:rPr>
        <w:t xml:space="preserve">and I would also hold, </w:t>
      </w:r>
      <w:r w:rsidR="00850EE3">
        <w:rPr>
          <w:szCs w:val="28"/>
        </w:rPr>
        <w:t xml:space="preserve">it is too late for an order for </w:t>
      </w:r>
      <w:r w:rsidR="00BC2297">
        <w:rPr>
          <w:szCs w:val="28"/>
        </w:rPr>
        <w:t xml:space="preserve">an </w:t>
      </w:r>
      <w:r w:rsidR="00850EE3">
        <w:rPr>
          <w:szCs w:val="28"/>
        </w:rPr>
        <w:t xml:space="preserve">extension to be made.  If the Commissioners were to re-seize the cash and Mr Mann, or his representatives, were to object that this constituted an abuse of process, that </w:t>
      </w:r>
      <w:r w:rsidR="00BC2297">
        <w:rPr>
          <w:szCs w:val="28"/>
        </w:rPr>
        <w:t xml:space="preserve">issue </w:t>
      </w:r>
      <w:r w:rsidR="00850EE3">
        <w:rPr>
          <w:szCs w:val="28"/>
        </w:rPr>
        <w:t>would be a decision for another court to make on another day</w:t>
      </w:r>
      <w:r w:rsidR="00BC2297">
        <w:rPr>
          <w:szCs w:val="28"/>
        </w:rPr>
        <w:t>. P</w:t>
      </w:r>
      <w:r w:rsidR="00850EE3">
        <w:rPr>
          <w:szCs w:val="28"/>
        </w:rPr>
        <w:t xml:space="preserve">articularly in the absence of </w:t>
      </w:r>
      <w:r w:rsidR="00BC2297">
        <w:rPr>
          <w:szCs w:val="28"/>
        </w:rPr>
        <w:t>any advocate representing</w:t>
      </w:r>
      <w:r w:rsidR="00850EE3">
        <w:rPr>
          <w:szCs w:val="28"/>
        </w:rPr>
        <w:t xml:space="preserve"> the respondent</w:t>
      </w:r>
      <w:r w:rsidR="00BC2297">
        <w:rPr>
          <w:szCs w:val="28"/>
        </w:rPr>
        <w:t>,</w:t>
      </w:r>
      <w:r w:rsidR="00850EE3">
        <w:rPr>
          <w:szCs w:val="28"/>
        </w:rPr>
        <w:t xml:space="preserve"> it is not a matter on which we should express an opinion.</w:t>
      </w:r>
    </w:p>
    <w:p w14:paraId="65CBE54D" w14:textId="77777777" w:rsidR="00850EE3" w:rsidRDefault="00850EE3" w:rsidP="00830547">
      <w:pPr>
        <w:pStyle w:val="ListParagraph"/>
        <w:ind w:left="900"/>
        <w:jc w:val="both"/>
        <w:rPr>
          <w:szCs w:val="28"/>
        </w:rPr>
      </w:pPr>
    </w:p>
    <w:p w14:paraId="54CB4EF7" w14:textId="00A31E6C" w:rsidR="00D863E0" w:rsidRDefault="00850EE3" w:rsidP="00830547">
      <w:pPr>
        <w:pStyle w:val="ListParagraph"/>
        <w:numPr>
          <w:ilvl w:val="0"/>
          <w:numId w:val="7"/>
        </w:numPr>
        <w:jc w:val="both"/>
        <w:rPr>
          <w:szCs w:val="28"/>
        </w:rPr>
      </w:pPr>
      <w:r>
        <w:rPr>
          <w:szCs w:val="28"/>
        </w:rPr>
        <w:t xml:space="preserve">I have a good deal of </w:t>
      </w:r>
      <w:r w:rsidR="00E00F30">
        <w:rPr>
          <w:szCs w:val="28"/>
        </w:rPr>
        <w:t xml:space="preserve">sympathy with </w:t>
      </w:r>
      <w:r>
        <w:rPr>
          <w:szCs w:val="28"/>
        </w:rPr>
        <w:t xml:space="preserve">HMRC </w:t>
      </w:r>
      <w:r w:rsidR="00C76597">
        <w:rPr>
          <w:szCs w:val="28"/>
        </w:rPr>
        <w:t>on the facts of the present case.  Their application was lodged with the court, as I have pointed out, just as the first national lockdown was beginning.  They had no reason to believe that a hearing would be so difficult to arrange.  If an extension were a matter of discretion, it might well have been exercised in their favour, but, like District Judge</w:t>
      </w:r>
      <w:r w:rsidR="00BC2297">
        <w:rPr>
          <w:szCs w:val="28"/>
        </w:rPr>
        <w:t xml:space="preserve"> Green</w:t>
      </w:r>
      <w:r w:rsidR="00C76597">
        <w:rPr>
          <w:szCs w:val="28"/>
        </w:rPr>
        <w:t>, I conclude that this is not a matter of discretion at all. I would therefore dismiss this appeal.</w:t>
      </w:r>
    </w:p>
    <w:p w14:paraId="2C6B494C" w14:textId="77777777" w:rsidR="00C76597" w:rsidRDefault="00C76597" w:rsidP="00830547">
      <w:pPr>
        <w:pStyle w:val="ListParagraph"/>
        <w:ind w:left="900"/>
        <w:rPr>
          <w:szCs w:val="28"/>
        </w:rPr>
      </w:pPr>
    </w:p>
    <w:p w14:paraId="64480464" w14:textId="4D07E5B9" w:rsidR="00C76597" w:rsidRDefault="00C76597" w:rsidP="00830547">
      <w:pPr>
        <w:pStyle w:val="ListParagraph"/>
        <w:ind w:left="900" w:hanging="990"/>
        <w:rPr>
          <w:szCs w:val="28"/>
        </w:rPr>
      </w:pPr>
      <w:r>
        <w:rPr>
          <w:szCs w:val="28"/>
        </w:rPr>
        <w:t>MR JUSTICE CAVANAGH:  I agree.</w:t>
      </w:r>
    </w:p>
    <w:p w14:paraId="59C32A3E" w14:textId="0BBBB16A" w:rsidR="00D90068" w:rsidRDefault="001A4F14" w:rsidP="00830547">
      <w:pPr>
        <w:tabs>
          <w:tab w:val="left" w:pos="576"/>
        </w:tabs>
        <w:ind w:left="578" w:hanging="578"/>
        <w:jc w:val="center"/>
        <w:rPr>
          <w:szCs w:val="28"/>
        </w:rPr>
        <w:sectPr w:rsidR="00D90068" w:rsidSect="00034FD3">
          <w:footerReference w:type="first" r:id="rId14"/>
          <w:pgSz w:w="11906" w:h="16838" w:code="9"/>
          <w:pgMar w:top="1276" w:right="746" w:bottom="720" w:left="1440" w:header="851" w:footer="289" w:gutter="0"/>
          <w:cols w:space="708"/>
          <w:titlePg/>
          <w:docGrid w:linePitch="360"/>
        </w:sectPr>
      </w:pPr>
      <w:bookmarkStart w:id="2" w:name="_Hlk485114643"/>
      <w:r>
        <w:rPr>
          <w:szCs w:val="28"/>
        </w:rPr>
        <w:t>____</w:t>
      </w:r>
      <w:r w:rsidR="004A5E90" w:rsidRPr="0011357C">
        <w:rPr>
          <w:szCs w:val="28"/>
        </w:rPr>
        <w:t>__________</w:t>
      </w:r>
    </w:p>
    <w:bookmarkEnd w:id="2"/>
    <w:p w14:paraId="18B718C5" w14:textId="36B9FBB6" w:rsidR="00FE1E6F" w:rsidRPr="00A96EDA" w:rsidRDefault="00032A66" w:rsidP="0011357C">
      <w:pPr>
        <w:tabs>
          <w:tab w:val="left" w:pos="576"/>
        </w:tabs>
        <w:spacing w:line="480" w:lineRule="auto"/>
        <w:rPr>
          <w:sz w:val="28"/>
          <w:szCs w:val="28"/>
        </w:rPr>
      </w:pPr>
      <w:r>
        <w:rPr>
          <w:noProof/>
        </w:rPr>
        <w:lastRenderedPageBreak/>
        <mc:AlternateContent>
          <mc:Choice Requires="wps">
            <w:drawing>
              <wp:anchor distT="45720" distB="45720" distL="114300" distR="114300" simplePos="0" relativeHeight="251658240" behindDoc="0" locked="0" layoutInCell="1" allowOverlap="1" wp14:anchorId="18B718C8" wp14:editId="1630F385">
                <wp:simplePos x="0" y="0"/>
                <wp:positionH relativeFrom="margin">
                  <wp:posOffset>190500</wp:posOffset>
                </wp:positionH>
                <wp:positionV relativeFrom="paragraph">
                  <wp:posOffset>201295</wp:posOffset>
                </wp:positionV>
                <wp:extent cx="5476875" cy="3895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895725"/>
                        </a:xfrm>
                        <a:prstGeom prst="rect">
                          <a:avLst/>
                        </a:prstGeom>
                        <a:solidFill>
                          <a:srgbClr val="FFFFFF"/>
                        </a:solidFill>
                        <a:ln w="9525">
                          <a:solidFill>
                            <a:srgbClr val="000000"/>
                          </a:solidFill>
                          <a:miter lim="800000"/>
                          <a:headEnd/>
                          <a:tailEnd/>
                        </a:ln>
                      </wps:spPr>
                      <wps:txbx>
                        <w:txbxContent>
                          <w:p w14:paraId="18B718D3" w14:textId="77777777" w:rsidR="00B22BC3" w:rsidRDefault="00B22BC3" w:rsidP="004B090F">
                            <w:pPr>
                              <w:jc w:val="center"/>
                              <w:rPr>
                                <w:i/>
                              </w:rPr>
                            </w:pPr>
                          </w:p>
                          <w:p w14:paraId="16D2D41F" w14:textId="77777777" w:rsidR="00B22BC3" w:rsidRPr="00C03750" w:rsidRDefault="00B22BC3" w:rsidP="0085132E">
                            <w:pPr>
                              <w:spacing w:line="360" w:lineRule="auto"/>
                              <w:jc w:val="center"/>
                              <w:rPr>
                                <w:b/>
                                <w:u w:val="single"/>
                              </w:rPr>
                            </w:pPr>
                            <w:r w:rsidRPr="00C03750">
                              <w:rPr>
                                <w:b/>
                                <w:u w:val="single"/>
                              </w:rPr>
                              <w:t>CERTIFICATE</w:t>
                            </w:r>
                          </w:p>
                          <w:p w14:paraId="31205D0A" w14:textId="77777777" w:rsidR="00B22BC3" w:rsidRPr="00C03750" w:rsidRDefault="00B22BC3" w:rsidP="0085132E">
                            <w:pPr>
                              <w:spacing w:line="360" w:lineRule="auto"/>
                              <w:jc w:val="center"/>
                            </w:pPr>
                          </w:p>
                          <w:p w14:paraId="5203CF1D" w14:textId="77777777" w:rsidR="00B22BC3" w:rsidRDefault="00B22BC3" w:rsidP="003F519C">
                            <w:pPr>
                              <w:spacing w:line="360" w:lineRule="auto"/>
                              <w:ind w:left="284"/>
                              <w:jc w:val="center"/>
                            </w:pPr>
                            <w:r w:rsidRPr="0088695F">
                              <w:t>Opus 2 International L</w:t>
                            </w:r>
                            <w:r>
                              <w:t>imited h</w:t>
                            </w:r>
                            <w:r w:rsidRPr="0088695F">
                              <w:t xml:space="preserve">ereby certifies that the above is an accurate and complete record of the </w:t>
                            </w:r>
                            <w:r>
                              <w:t>Judgment</w:t>
                            </w:r>
                            <w:r w:rsidRPr="0088695F">
                              <w:t xml:space="preserve"> or part thereof.</w:t>
                            </w:r>
                          </w:p>
                          <w:p w14:paraId="772D764E" w14:textId="77777777" w:rsidR="00B22BC3" w:rsidRPr="0088695F" w:rsidRDefault="00B22BC3" w:rsidP="003F519C">
                            <w:pPr>
                              <w:spacing w:line="360" w:lineRule="auto"/>
                              <w:ind w:left="284"/>
                              <w:jc w:val="center"/>
                            </w:pPr>
                          </w:p>
                          <w:p w14:paraId="26208852" w14:textId="77777777" w:rsidR="00B22BC3" w:rsidRPr="0088695F" w:rsidRDefault="00B22BC3" w:rsidP="003F519C">
                            <w:pPr>
                              <w:spacing w:line="360" w:lineRule="auto"/>
                              <w:jc w:val="center"/>
                            </w:pPr>
                            <w:r w:rsidRPr="0088695F">
                              <w:rPr>
                                <w:i/>
                              </w:rPr>
                              <w:t xml:space="preserve">Transcribed by </w:t>
                            </w:r>
                            <w:r w:rsidRPr="0088695F">
                              <w:rPr>
                                <w:b/>
                                <w:i/>
                              </w:rPr>
                              <w:t>Opus 2 International L</w:t>
                            </w:r>
                            <w:r>
                              <w:rPr>
                                <w:b/>
                                <w:i/>
                              </w:rPr>
                              <w:t>imited</w:t>
                            </w:r>
                          </w:p>
                          <w:p w14:paraId="491A808A" w14:textId="77777777" w:rsidR="00B22BC3" w:rsidRPr="0088695F" w:rsidRDefault="00B22BC3" w:rsidP="003F519C">
                            <w:pPr>
                              <w:spacing w:line="360" w:lineRule="auto"/>
                              <w:jc w:val="center"/>
                              <w:rPr>
                                <w:i/>
                              </w:rPr>
                            </w:pPr>
                            <w:r w:rsidRPr="0088695F">
                              <w:rPr>
                                <w:i/>
                              </w:rPr>
                              <w:t>Official Court Reporters and Audio Transcribers</w:t>
                            </w:r>
                          </w:p>
                          <w:p w14:paraId="18C2044E" w14:textId="77777777" w:rsidR="00B22BC3" w:rsidRPr="0088695F" w:rsidRDefault="00B22BC3" w:rsidP="003F519C">
                            <w:pPr>
                              <w:spacing w:line="360" w:lineRule="auto"/>
                              <w:jc w:val="center"/>
                            </w:pPr>
                            <w:r w:rsidRPr="0088695F">
                              <w:rPr>
                                <w:b/>
                                <w:bCs/>
                                <w:i/>
                              </w:rPr>
                              <w:t>5 New Street Square, London</w:t>
                            </w:r>
                            <w:r>
                              <w:rPr>
                                <w:b/>
                                <w:bCs/>
                                <w:i/>
                              </w:rPr>
                              <w:t xml:space="preserve">, </w:t>
                            </w:r>
                            <w:r w:rsidRPr="0088695F">
                              <w:rPr>
                                <w:b/>
                                <w:bCs/>
                                <w:i/>
                              </w:rPr>
                              <w:t>EC4A 3BF</w:t>
                            </w:r>
                            <w:r w:rsidRPr="0088695F">
                              <w:rPr>
                                <w:b/>
                                <w:i/>
                              </w:rPr>
                              <w:br/>
                              <w:t>Tel:  020 7831 5627     Fax:  020 7831 7737</w:t>
                            </w:r>
                          </w:p>
                          <w:p w14:paraId="662BD377" w14:textId="60379325" w:rsidR="00B22BC3" w:rsidRPr="006F4D22" w:rsidRDefault="00B22BC3" w:rsidP="003F519C">
                            <w:pPr>
                              <w:tabs>
                                <w:tab w:val="center" w:pos="4874"/>
                                <w:tab w:val="right" w:pos="9749"/>
                              </w:tabs>
                              <w:spacing w:line="360" w:lineRule="auto"/>
                              <w:jc w:val="center"/>
                              <w:rPr>
                                <w:b/>
                                <w:i/>
                                <w:color w:val="000000" w:themeColor="text1"/>
                                <w:u w:val="single"/>
                              </w:rPr>
                            </w:pPr>
                            <w:r>
                              <w:rPr>
                                <w:rStyle w:val="Hyperlink"/>
                                <w:b/>
                                <w:i/>
                                <w:color w:val="000000" w:themeColor="text1"/>
                              </w:rPr>
                              <w:t>CACD.ACO</w:t>
                            </w:r>
                            <w:hyperlink r:id="rId15" w:history="1">
                              <w:r w:rsidRPr="006F4D22">
                                <w:rPr>
                                  <w:rStyle w:val="Hyperlink"/>
                                  <w:b/>
                                  <w:i/>
                                  <w:color w:val="000000" w:themeColor="text1"/>
                                </w:rPr>
                                <w:t>@opus2.digital</w:t>
                              </w:r>
                            </w:hyperlink>
                          </w:p>
                          <w:p w14:paraId="3A5C5FBC" w14:textId="77777777" w:rsidR="00B22BC3" w:rsidRPr="0088695F" w:rsidRDefault="00B22BC3" w:rsidP="003F519C">
                            <w:pPr>
                              <w:tabs>
                                <w:tab w:val="center" w:pos="4874"/>
                                <w:tab w:val="right" w:pos="9749"/>
                              </w:tabs>
                              <w:spacing w:line="360" w:lineRule="auto"/>
                              <w:jc w:val="center"/>
                              <w:rPr>
                                <w:b/>
                                <w:i/>
                              </w:rPr>
                            </w:pPr>
                          </w:p>
                          <w:p w14:paraId="04D19188" w14:textId="7CF83CF4" w:rsidR="00B22BC3" w:rsidRPr="0088695F" w:rsidRDefault="00B22BC3" w:rsidP="003F519C">
                            <w:pPr>
                              <w:tabs>
                                <w:tab w:val="left" w:pos="576"/>
                              </w:tabs>
                              <w:spacing w:line="480" w:lineRule="auto"/>
                              <w:ind w:left="578" w:hanging="578"/>
                              <w:jc w:val="center"/>
                              <w:rPr>
                                <w:color w:val="000000" w:themeColor="text1"/>
                              </w:rPr>
                            </w:pPr>
                            <w:r w:rsidRPr="00823D59">
                              <w:rPr>
                                <w:color w:val="000000" w:themeColor="text1"/>
                              </w:rPr>
                              <w:t xml:space="preserve">This transcript </w:t>
                            </w:r>
                            <w:r w:rsidR="00830547">
                              <w:rPr>
                                <w:color w:val="000000" w:themeColor="text1"/>
                              </w:rPr>
                              <w:t>has been approved by the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718C8" id="_x0000_t202" coordsize="21600,21600" o:spt="202" path="m,l,21600r21600,l21600,xe">
                <v:stroke joinstyle="miter"/>
                <v:path gradientshapeok="t" o:connecttype="rect"/>
              </v:shapetype>
              <v:shape id="Text Box 2" o:spid="_x0000_s1026" type="#_x0000_t202" style="position:absolute;margin-left:15pt;margin-top:15.85pt;width:431.25pt;height:30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">
                <v:textbox>
                  <w:txbxContent>
                    <w:p w14:paraId="18B718D3" w14:textId="77777777" w:rsidR="00B22BC3" w:rsidRDefault="00B22BC3" w:rsidP="004B090F">
                      <w:pPr>
                        <w:jc w:val="center"/>
                        <w:rPr>
                          <w:i/>
                        </w:rPr>
                      </w:pPr>
                    </w:p>
                    <w:p w14:paraId="16D2D41F" w14:textId="77777777" w:rsidR="00B22BC3" w:rsidRPr="00C03750" w:rsidRDefault="00B22BC3" w:rsidP="0085132E">
                      <w:pPr>
                        <w:spacing w:line="360" w:lineRule="auto"/>
                        <w:jc w:val="center"/>
                        <w:rPr>
                          <w:b/>
                          <w:u w:val="single"/>
                        </w:rPr>
                      </w:pPr>
                      <w:r w:rsidRPr="00C03750">
                        <w:rPr>
                          <w:b/>
                          <w:u w:val="single"/>
                        </w:rPr>
                        <w:t>CERTIFICATE</w:t>
                      </w:r>
                    </w:p>
                    <w:p w14:paraId="31205D0A" w14:textId="77777777" w:rsidR="00B22BC3" w:rsidRPr="00C03750" w:rsidRDefault="00B22BC3" w:rsidP="0085132E">
                      <w:pPr>
                        <w:spacing w:line="360" w:lineRule="auto"/>
                        <w:jc w:val="center"/>
                      </w:pPr>
                    </w:p>
                    <w:p w14:paraId="5203CF1D" w14:textId="77777777" w:rsidR="00B22BC3" w:rsidRDefault="00B22BC3" w:rsidP="003F519C">
                      <w:pPr>
                        <w:spacing w:line="360" w:lineRule="auto"/>
                        <w:ind w:left="284"/>
                        <w:jc w:val="center"/>
                      </w:pPr>
                      <w:r w:rsidRPr="0088695F">
                        <w:t>Opus 2 International L</w:t>
                      </w:r>
                      <w:r>
                        <w:t>imited h</w:t>
                      </w:r>
                      <w:r w:rsidRPr="0088695F">
                        <w:t xml:space="preserve">ereby certifies that the above is an accurate and complete record of the </w:t>
                      </w:r>
                      <w:r>
                        <w:t>Judgment</w:t>
                      </w:r>
                      <w:r w:rsidRPr="0088695F">
                        <w:t xml:space="preserve"> or part thereof.</w:t>
                      </w:r>
                    </w:p>
                    <w:p w14:paraId="772D764E" w14:textId="77777777" w:rsidR="00B22BC3" w:rsidRPr="0088695F" w:rsidRDefault="00B22BC3" w:rsidP="003F519C">
                      <w:pPr>
                        <w:spacing w:line="360" w:lineRule="auto"/>
                        <w:ind w:left="284"/>
                        <w:jc w:val="center"/>
                      </w:pPr>
                    </w:p>
                    <w:p w14:paraId="26208852" w14:textId="77777777" w:rsidR="00B22BC3" w:rsidRPr="0088695F" w:rsidRDefault="00B22BC3" w:rsidP="003F519C">
                      <w:pPr>
                        <w:spacing w:line="360" w:lineRule="auto"/>
                        <w:jc w:val="center"/>
                      </w:pPr>
                      <w:r w:rsidRPr="0088695F">
                        <w:rPr>
                          <w:i/>
                        </w:rPr>
                        <w:t xml:space="preserve">Transcribed by </w:t>
                      </w:r>
                      <w:r w:rsidRPr="0088695F">
                        <w:rPr>
                          <w:b/>
                          <w:i/>
                        </w:rPr>
                        <w:t>Opus 2 International L</w:t>
                      </w:r>
                      <w:r>
                        <w:rPr>
                          <w:b/>
                          <w:i/>
                        </w:rPr>
                        <w:t>imited</w:t>
                      </w:r>
                    </w:p>
                    <w:p w14:paraId="491A808A" w14:textId="77777777" w:rsidR="00B22BC3" w:rsidRPr="0088695F" w:rsidRDefault="00B22BC3" w:rsidP="003F519C">
                      <w:pPr>
                        <w:spacing w:line="360" w:lineRule="auto"/>
                        <w:jc w:val="center"/>
                        <w:rPr>
                          <w:i/>
                        </w:rPr>
                      </w:pPr>
                      <w:r w:rsidRPr="0088695F">
                        <w:rPr>
                          <w:i/>
                        </w:rPr>
                        <w:t>Official Court Reporters and Audio Transcribers</w:t>
                      </w:r>
                    </w:p>
                    <w:p w14:paraId="18C2044E" w14:textId="77777777" w:rsidR="00B22BC3" w:rsidRPr="0088695F" w:rsidRDefault="00B22BC3" w:rsidP="003F519C">
                      <w:pPr>
                        <w:spacing w:line="360" w:lineRule="auto"/>
                        <w:jc w:val="center"/>
                      </w:pPr>
                      <w:r w:rsidRPr="0088695F">
                        <w:rPr>
                          <w:b/>
                          <w:bCs/>
                          <w:i/>
                        </w:rPr>
                        <w:t>5 New Street Square, London</w:t>
                      </w:r>
                      <w:r>
                        <w:rPr>
                          <w:b/>
                          <w:bCs/>
                          <w:i/>
                        </w:rPr>
                        <w:t xml:space="preserve">, </w:t>
                      </w:r>
                      <w:r w:rsidRPr="0088695F">
                        <w:rPr>
                          <w:b/>
                          <w:bCs/>
                          <w:i/>
                        </w:rPr>
                        <w:t>EC4A 3BF</w:t>
                      </w:r>
                      <w:r w:rsidRPr="0088695F">
                        <w:rPr>
                          <w:b/>
                          <w:i/>
                        </w:rPr>
                        <w:br/>
                        <w:t>Tel:  020 7831 5627     Fax:  020 7831 7737</w:t>
                      </w:r>
                    </w:p>
                    <w:p w14:paraId="662BD377" w14:textId="60379325" w:rsidR="00B22BC3" w:rsidRPr="006F4D22" w:rsidRDefault="00B22BC3" w:rsidP="003F519C">
                      <w:pPr>
                        <w:tabs>
                          <w:tab w:val="center" w:pos="4874"/>
                          <w:tab w:val="right" w:pos="9749"/>
                        </w:tabs>
                        <w:spacing w:line="360" w:lineRule="auto"/>
                        <w:jc w:val="center"/>
                        <w:rPr>
                          <w:b/>
                          <w:i/>
                          <w:color w:val="000000" w:themeColor="text1"/>
                          <w:u w:val="single"/>
                        </w:rPr>
                      </w:pPr>
                      <w:r>
                        <w:rPr>
                          <w:rStyle w:val="Hyperlink"/>
                          <w:b/>
                          <w:i/>
                          <w:color w:val="000000" w:themeColor="text1"/>
                        </w:rPr>
                        <w:t>CACD.ACO</w:t>
                      </w:r>
                      <w:hyperlink r:id="rId16" w:history="1">
                        <w:r w:rsidRPr="006F4D22">
                          <w:rPr>
                            <w:rStyle w:val="Hyperlink"/>
                            <w:b/>
                            <w:i/>
                            <w:color w:val="000000" w:themeColor="text1"/>
                          </w:rPr>
                          <w:t>@opus2.digital</w:t>
                        </w:r>
                      </w:hyperlink>
                    </w:p>
                    <w:p w14:paraId="3A5C5FBC" w14:textId="77777777" w:rsidR="00B22BC3" w:rsidRPr="0088695F" w:rsidRDefault="00B22BC3" w:rsidP="003F519C">
                      <w:pPr>
                        <w:tabs>
                          <w:tab w:val="center" w:pos="4874"/>
                          <w:tab w:val="right" w:pos="9749"/>
                        </w:tabs>
                        <w:spacing w:line="360" w:lineRule="auto"/>
                        <w:jc w:val="center"/>
                        <w:rPr>
                          <w:b/>
                          <w:i/>
                        </w:rPr>
                      </w:pPr>
                    </w:p>
                    <w:p w14:paraId="04D19188" w14:textId="7CF83CF4" w:rsidR="00B22BC3" w:rsidRPr="0088695F" w:rsidRDefault="00B22BC3" w:rsidP="003F519C">
                      <w:pPr>
                        <w:tabs>
                          <w:tab w:val="left" w:pos="576"/>
                        </w:tabs>
                        <w:spacing w:line="480" w:lineRule="auto"/>
                        <w:ind w:left="578" w:hanging="578"/>
                        <w:jc w:val="center"/>
                        <w:rPr>
                          <w:color w:val="000000" w:themeColor="text1"/>
                        </w:rPr>
                      </w:pPr>
                      <w:r w:rsidRPr="00823D59">
                        <w:rPr>
                          <w:color w:val="000000" w:themeColor="text1"/>
                        </w:rPr>
                        <w:t xml:space="preserve">This transcript </w:t>
                      </w:r>
                      <w:r w:rsidR="00830547">
                        <w:rPr>
                          <w:color w:val="000000" w:themeColor="text1"/>
                        </w:rPr>
                        <w:t>has been approved by the Judge.</w:t>
                      </w:r>
                    </w:p>
                  </w:txbxContent>
                </v:textbox>
                <w10:wrap type="square" anchorx="margin"/>
              </v:shape>
            </w:pict>
          </mc:Fallback>
        </mc:AlternateContent>
      </w:r>
    </w:p>
    <w:sectPr w:rsidR="00FE1E6F" w:rsidRPr="00A96EDA" w:rsidSect="00560DC8">
      <w:footerReference w:type="first" r:id="rId17"/>
      <w:pgSz w:w="11906" w:h="16838" w:code="9"/>
      <w:pgMar w:top="1276" w:right="833" w:bottom="720" w:left="1440" w:header="85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D1D1" w14:textId="77777777" w:rsidR="005F409C" w:rsidRDefault="005F409C">
      <w:r>
        <w:separator/>
      </w:r>
    </w:p>
  </w:endnote>
  <w:endnote w:type="continuationSeparator" w:id="0">
    <w:p w14:paraId="45DAE4BD" w14:textId="77777777" w:rsidR="005F409C" w:rsidRDefault="005F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8CE" w14:textId="77777777" w:rsidR="00B22BC3" w:rsidRPr="008E45AD" w:rsidRDefault="00B22BC3" w:rsidP="00943A52">
    <w:pPr>
      <w:pStyle w:val="Footer"/>
      <w:tabs>
        <w:tab w:val="clear" w:pos="4153"/>
        <w:tab w:val="clear" w:pos="8306"/>
        <w:tab w:val="right" w:pos="9746"/>
      </w:tabs>
      <w:rPr>
        <w:b/>
        <w:sz w:val="16"/>
        <w:szCs w:val="16"/>
      </w:rPr>
    </w:pPr>
    <w:r>
      <w:rPr>
        <w:b/>
        <w:sz w:val="16"/>
        <w:szCs w:val="16"/>
      </w:rPr>
      <w:t>OPUS 2 DIGITAL TRANSCRIPTION</w:t>
    </w:r>
    <w:r>
      <w:rPr>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8D0" w14:textId="77777777" w:rsidR="00B22BC3" w:rsidRDefault="00B22BC3" w:rsidP="00AE1EEA">
    <w:pPr>
      <w:pStyle w:val="Footer"/>
      <w:tabs>
        <w:tab w:val="right" w:pos="9746"/>
      </w:tabs>
      <w:ind w:hanging="600"/>
      <w:rPr>
        <w:b/>
        <w:sz w:val="16"/>
        <w:szCs w:val="16"/>
      </w:rPr>
    </w:pPr>
    <w:r>
      <w:rPr>
        <w:b/>
        <w:sz w:val="16"/>
        <w:szCs w:val="16"/>
      </w:rPr>
      <w:t>OPUS 2 DIGITAL TRANSCRIPTION</w:t>
    </w:r>
  </w:p>
  <w:p w14:paraId="18B718D1" w14:textId="77777777" w:rsidR="00B22BC3" w:rsidRPr="00AE1EEA" w:rsidRDefault="00B22BC3" w:rsidP="00AE1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532" w14:textId="77777777" w:rsidR="00B22BC3" w:rsidRPr="00AE1EEA" w:rsidRDefault="00B22BC3" w:rsidP="00AE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7B55" w14:textId="77777777" w:rsidR="005F409C" w:rsidRDefault="005F409C">
      <w:r>
        <w:separator/>
      </w:r>
    </w:p>
  </w:footnote>
  <w:footnote w:type="continuationSeparator" w:id="0">
    <w:p w14:paraId="4CFBFC5A" w14:textId="77777777" w:rsidR="005F409C" w:rsidRDefault="005F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8CD" w14:textId="2913A604" w:rsidR="00B22BC3" w:rsidRPr="00522081" w:rsidRDefault="00B22BC3" w:rsidP="00A01A77">
    <w:pPr>
      <w:pStyle w:val="Header"/>
      <w:jc w:val="right"/>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8CF" w14:textId="5721B001" w:rsidR="00B22BC3" w:rsidRPr="00522081" w:rsidRDefault="00B22BC3" w:rsidP="00A01A77">
    <w:pPr>
      <w:pStyle w:val="Header"/>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7A51AC"/>
    <w:multiLevelType w:val="multilevel"/>
    <w:tmpl w:val="CF6A8AAA"/>
    <w:lvl w:ilvl="0">
      <w:start w:val="1"/>
      <w:numFmt w:val="decimal"/>
      <w:lvlText w:val="%1"/>
      <w:lvlJc w:val="left"/>
      <w:pPr>
        <w:ind w:left="720" w:hanging="363"/>
      </w:pPr>
      <w:rPr>
        <w:rFonts w:cs="Times New Roman" w:hint="default"/>
      </w:rPr>
    </w:lvl>
    <w:lvl w:ilvl="1">
      <w:start w:val="1"/>
      <w:numFmt w:val="none"/>
      <w:lvlText w:val=""/>
      <w:lvlJc w:val="left"/>
      <w:pPr>
        <w:ind w:left="1440" w:hanging="363"/>
      </w:pPr>
      <w:rPr>
        <w:rFonts w:cs="Times New Roman" w:hint="default"/>
      </w:rPr>
    </w:lvl>
    <w:lvl w:ilvl="2">
      <w:start w:val="1"/>
      <w:numFmt w:val="none"/>
      <w:lvlText w:val=""/>
      <w:lvlJc w:val="right"/>
      <w:pPr>
        <w:ind w:left="2160" w:hanging="363"/>
      </w:pPr>
      <w:rPr>
        <w:rFonts w:cs="Times New Roman" w:hint="default"/>
      </w:rPr>
    </w:lvl>
    <w:lvl w:ilvl="3">
      <w:start w:val="1"/>
      <w:numFmt w:val="none"/>
      <w:lvlText w:val=""/>
      <w:lvlJc w:val="left"/>
      <w:pPr>
        <w:ind w:left="2880" w:hanging="363"/>
      </w:pPr>
      <w:rPr>
        <w:rFonts w:cs="Times New Roman" w:hint="default"/>
      </w:rPr>
    </w:lvl>
    <w:lvl w:ilvl="4">
      <w:start w:val="1"/>
      <w:numFmt w:val="none"/>
      <w:lvlText w:val=""/>
      <w:lvlJc w:val="left"/>
      <w:pPr>
        <w:ind w:left="3600" w:hanging="363"/>
      </w:pPr>
      <w:rPr>
        <w:rFonts w:cs="Times New Roman" w:hint="default"/>
      </w:rPr>
    </w:lvl>
    <w:lvl w:ilvl="5">
      <w:start w:val="1"/>
      <w:numFmt w:val="none"/>
      <w:lvlText w:val=""/>
      <w:lvlJc w:val="right"/>
      <w:pPr>
        <w:ind w:left="4320" w:hanging="363"/>
      </w:pPr>
      <w:rPr>
        <w:rFonts w:cs="Times New Roman" w:hint="default"/>
      </w:rPr>
    </w:lvl>
    <w:lvl w:ilvl="6">
      <w:start w:val="1"/>
      <w:numFmt w:val="none"/>
      <w:lvlText w:val=""/>
      <w:lvlJc w:val="left"/>
      <w:pPr>
        <w:ind w:left="5040" w:hanging="363"/>
      </w:pPr>
      <w:rPr>
        <w:rFonts w:cs="Times New Roman" w:hint="default"/>
      </w:rPr>
    </w:lvl>
    <w:lvl w:ilvl="7">
      <w:start w:val="1"/>
      <w:numFmt w:val="none"/>
      <w:lvlText w:val=""/>
      <w:lvlJc w:val="left"/>
      <w:pPr>
        <w:ind w:left="5760" w:hanging="363"/>
      </w:pPr>
      <w:rPr>
        <w:rFonts w:cs="Times New Roman" w:hint="default"/>
      </w:rPr>
    </w:lvl>
    <w:lvl w:ilvl="8">
      <w:start w:val="1"/>
      <w:numFmt w:val="none"/>
      <w:lvlText w:val=""/>
      <w:lvlJc w:val="right"/>
      <w:pPr>
        <w:ind w:left="6480" w:hanging="363"/>
      </w:pPr>
      <w:rPr>
        <w:rFonts w:cs="Times New Roman"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8FF6BF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68F42F2A"/>
    <w:multiLevelType w:val="multilevel"/>
    <w:tmpl w:val="AD0C195A"/>
    <w:lvl w:ilvl="0">
      <w:start w:val="1"/>
      <w:numFmt w:val="decimal"/>
      <w:lvlText w:val="%1"/>
      <w:lvlJc w:val="left"/>
      <w:pPr>
        <w:ind w:left="900" w:hanging="720"/>
      </w:pPr>
      <w:rPr>
        <w:rFonts w:cs="Times New Roman" w:hint="default"/>
      </w:rPr>
    </w:lvl>
    <w:lvl w:ilvl="1">
      <w:start w:val="1"/>
      <w:numFmt w:val="none"/>
      <w:lvlText w:val=""/>
      <w:lvlJc w:val="left"/>
      <w:pPr>
        <w:ind w:left="1440" w:hanging="720"/>
      </w:pPr>
      <w:rPr>
        <w:rFonts w:cs="Times New Roman" w:hint="default"/>
      </w:rPr>
    </w:lvl>
    <w:lvl w:ilvl="2">
      <w:start w:val="1"/>
      <w:numFmt w:val="none"/>
      <w:lvlText w:val=""/>
      <w:lvlJc w:val="right"/>
      <w:pPr>
        <w:ind w:left="2160" w:hanging="720"/>
      </w:pPr>
      <w:rPr>
        <w:rFonts w:cs="Times New Roman" w:hint="default"/>
      </w:rPr>
    </w:lvl>
    <w:lvl w:ilvl="3">
      <w:start w:val="1"/>
      <w:numFmt w:val="none"/>
      <w:lvlText w:val=""/>
      <w:lvlJc w:val="left"/>
      <w:pPr>
        <w:ind w:left="2880" w:hanging="720"/>
      </w:pPr>
      <w:rPr>
        <w:rFonts w:cs="Times New Roman" w:hint="default"/>
      </w:rPr>
    </w:lvl>
    <w:lvl w:ilvl="4">
      <w:start w:val="1"/>
      <w:numFmt w:val="none"/>
      <w:lvlText w:val=""/>
      <w:lvlJc w:val="left"/>
      <w:pPr>
        <w:ind w:left="3600" w:hanging="720"/>
      </w:pPr>
      <w:rPr>
        <w:rFonts w:cs="Times New Roman" w:hint="default"/>
      </w:rPr>
    </w:lvl>
    <w:lvl w:ilvl="5">
      <w:start w:val="1"/>
      <w:numFmt w:val="none"/>
      <w:lvlText w:val=""/>
      <w:lvlJc w:val="right"/>
      <w:pPr>
        <w:ind w:left="4320" w:hanging="720"/>
      </w:pPr>
      <w:rPr>
        <w:rFonts w:cs="Times New Roman" w:hint="default"/>
      </w:rPr>
    </w:lvl>
    <w:lvl w:ilvl="6">
      <w:start w:val="1"/>
      <w:numFmt w:val="none"/>
      <w:lvlText w:val=""/>
      <w:lvlJc w:val="left"/>
      <w:pPr>
        <w:ind w:left="5040" w:hanging="720"/>
      </w:pPr>
      <w:rPr>
        <w:rFonts w:cs="Times New Roman" w:hint="default"/>
      </w:rPr>
    </w:lvl>
    <w:lvl w:ilvl="7">
      <w:start w:val="1"/>
      <w:numFmt w:val="none"/>
      <w:lvlText w:val=""/>
      <w:lvlJc w:val="left"/>
      <w:pPr>
        <w:ind w:left="5760" w:hanging="720"/>
      </w:pPr>
      <w:rPr>
        <w:rFonts w:cs="Times New Roman" w:hint="default"/>
      </w:rPr>
    </w:lvl>
    <w:lvl w:ilvl="8">
      <w:start w:val="1"/>
      <w:numFmt w:val="none"/>
      <w:lvlText w:val=""/>
      <w:lvlJc w:val="right"/>
      <w:pPr>
        <w:ind w:left="6480" w:hanging="720"/>
      </w:pPr>
      <w:rPr>
        <w:rFonts w:cs="Times New Roman"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4B"/>
    <w:rsid w:val="00025297"/>
    <w:rsid w:val="00032A66"/>
    <w:rsid w:val="00033CCF"/>
    <w:rsid w:val="00034FD3"/>
    <w:rsid w:val="00040048"/>
    <w:rsid w:val="00044C2A"/>
    <w:rsid w:val="00052184"/>
    <w:rsid w:val="00064496"/>
    <w:rsid w:val="000648F2"/>
    <w:rsid w:val="000702AE"/>
    <w:rsid w:val="00092103"/>
    <w:rsid w:val="000962B0"/>
    <w:rsid w:val="000A7D25"/>
    <w:rsid w:val="000B0A5E"/>
    <w:rsid w:val="000B1951"/>
    <w:rsid w:val="000B3200"/>
    <w:rsid w:val="000B7D75"/>
    <w:rsid w:val="000C1F0E"/>
    <w:rsid w:val="000C215B"/>
    <w:rsid w:val="000C34AE"/>
    <w:rsid w:val="000C7017"/>
    <w:rsid w:val="000C7B43"/>
    <w:rsid w:val="000E0484"/>
    <w:rsid w:val="000E62F0"/>
    <w:rsid w:val="000F09A2"/>
    <w:rsid w:val="000F3DD6"/>
    <w:rsid w:val="000F589D"/>
    <w:rsid w:val="0010106E"/>
    <w:rsid w:val="001109B5"/>
    <w:rsid w:val="0011357C"/>
    <w:rsid w:val="00113D54"/>
    <w:rsid w:val="00122E61"/>
    <w:rsid w:val="00127B33"/>
    <w:rsid w:val="001315F4"/>
    <w:rsid w:val="001322C9"/>
    <w:rsid w:val="0013274C"/>
    <w:rsid w:val="001342EA"/>
    <w:rsid w:val="001352C7"/>
    <w:rsid w:val="00150FA4"/>
    <w:rsid w:val="00152A92"/>
    <w:rsid w:val="00154150"/>
    <w:rsid w:val="00156704"/>
    <w:rsid w:val="00172737"/>
    <w:rsid w:val="001734E4"/>
    <w:rsid w:val="00174B03"/>
    <w:rsid w:val="00175524"/>
    <w:rsid w:val="00177330"/>
    <w:rsid w:val="001807D5"/>
    <w:rsid w:val="00193BC1"/>
    <w:rsid w:val="00197CAF"/>
    <w:rsid w:val="001A12AF"/>
    <w:rsid w:val="001A1A36"/>
    <w:rsid w:val="001A4383"/>
    <w:rsid w:val="001A4F14"/>
    <w:rsid w:val="001A5831"/>
    <w:rsid w:val="001B415E"/>
    <w:rsid w:val="001E34F4"/>
    <w:rsid w:val="001E6A2F"/>
    <w:rsid w:val="00203996"/>
    <w:rsid w:val="00212B95"/>
    <w:rsid w:val="00216014"/>
    <w:rsid w:val="00220BBA"/>
    <w:rsid w:val="00242518"/>
    <w:rsid w:val="00242642"/>
    <w:rsid w:val="00267806"/>
    <w:rsid w:val="0028365F"/>
    <w:rsid w:val="00286EC0"/>
    <w:rsid w:val="002957E0"/>
    <w:rsid w:val="002A05B7"/>
    <w:rsid w:val="002B00BA"/>
    <w:rsid w:val="002B278B"/>
    <w:rsid w:val="002B416F"/>
    <w:rsid w:val="002B4606"/>
    <w:rsid w:val="002C27CA"/>
    <w:rsid w:val="002C2FAE"/>
    <w:rsid w:val="002C3727"/>
    <w:rsid w:val="002C500F"/>
    <w:rsid w:val="002D27FB"/>
    <w:rsid w:val="002D4ACF"/>
    <w:rsid w:val="002D508D"/>
    <w:rsid w:val="002D5D57"/>
    <w:rsid w:val="002E1726"/>
    <w:rsid w:val="002E2855"/>
    <w:rsid w:val="002F139E"/>
    <w:rsid w:val="00301E2E"/>
    <w:rsid w:val="00310D50"/>
    <w:rsid w:val="003112E7"/>
    <w:rsid w:val="003138CE"/>
    <w:rsid w:val="0031747E"/>
    <w:rsid w:val="003176E2"/>
    <w:rsid w:val="00320F82"/>
    <w:rsid w:val="0032280E"/>
    <w:rsid w:val="003344B3"/>
    <w:rsid w:val="00335524"/>
    <w:rsid w:val="00335AF9"/>
    <w:rsid w:val="00341E34"/>
    <w:rsid w:val="00350E54"/>
    <w:rsid w:val="00363384"/>
    <w:rsid w:val="00366737"/>
    <w:rsid w:val="00367993"/>
    <w:rsid w:val="00371A40"/>
    <w:rsid w:val="0037379A"/>
    <w:rsid w:val="00374AAE"/>
    <w:rsid w:val="00382AEB"/>
    <w:rsid w:val="00382E71"/>
    <w:rsid w:val="0038613A"/>
    <w:rsid w:val="003A4E49"/>
    <w:rsid w:val="003A61D6"/>
    <w:rsid w:val="003B351A"/>
    <w:rsid w:val="003B5E3F"/>
    <w:rsid w:val="003C0E86"/>
    <w:rsid w:val="003D7F4C"/>
    <w:rsid w:val="003F519C"/>
    <w:rsid w:val="003F6BAC"/>
    <w:rsid w:val="003F721C"/>
    <w:rsid w:val="00403C52"/>
    <w:rsid w:val="00412B48"/>
    <w:rsid w:val="00417C14"/>
    <w:rsid w:val="004200ED"/>
    <w:rsid w:val="0042076C"/>
    <w:rsid w:val="00422117"/>
    <w:rsid w:val="00431234"/>
    <w:rsid w:val="004340F6"/>
    <w:rsid w:val="00444B90"/>
    <w:rsid w:val="004500F5"/>
    <w:rsid w:val="00454637"/>
    <w:rsid w:val="0047113E"/>
    <w:rsid w:val="00472ED3"/>
    <w:rsid w:val="0047419D"/>
    <w:rsid w:val="004977C7"/>
    <w:rsid w:val="004A388D"/>
    <w:rsid w:val="004A4E11"/>
    <w:rsid w:val="004A5E90"/>
    <w:rsid w:val="004B0906"/>
    <w:rsid w:val="004B090F"/>
    <w:rsid w:val="004C4679"/>
    <w:rsid w:val="004C737F"/>
    <w:rsid w:val="004D6873"/>
    <w:rsid w:val="004E239E"/>
    <w:rsid w:val="004E40E4"/>
    <w:rsid w:val="004E4B22"/>
    <w:rsid w:val="004E6CE7"/>
    <w:rsid w:val="0050546F"/>
    <w:rsid w:val="00513306"/>
    <w:rsid w:val="0052200F"/>
    <w:rsid w:val="00522081"/>
    <w:rsid w:val="00530E76"/>
    <w:rsid w:val="00534C67"/>
    <w:rsid w:val="00535764"/>
    <w:rsid w:val="00540F00"/>
    <w:rsid w:val="00540F93"/>
    <w:rsid w:val="00546F66"/>
    <w:rsid w:val="0055779B"/>
    <w:rsid w:val="00560DC8"/>
    <w:rsid w:val="00561828"/>
    <w:rsid w:val="00562759"/>
    <w:rsid w:val="00563DA8"/>
    <w:rsid w:val="0056516C"/>
    <w:rsid w:val="005713BC"/>
    <w:rsid w:val="00574DD4"/>
    <w:rsid w:val="005948A2"/>
    <w:rsid w:val="00595BBE"/>
    <w:rsid w:val="005A0853"/>
    <w:rsid w:val="005A20B2"/>
    <w:rsid w:val="005A2270"/>
    <w:rsid w:val="005A2BD6"/>
    <w:rsid w:val="005A4C8B"/>
    <w:rsid w:val="005A7EF2"/>
    <w:rsid w:val="005B4C31"/>
    <w:rsid w:val="005C3CBA"/>
    <w:rsid w:val="005D2850"/>
    <w:rsid w:val="005E77E1"/>
    <w:rsid w:val="005E7D69"/>
    <w:rsid w:val="005F409C"/>
    <w:rsid w:val="005F4FCA"/>
    <w:rsid w:val="006011CC"/>
    <w:rsid w:val="006033F1"/>
    <w:rsid w:val="006048ED"/>
    <w:rsid w:val="0060518E"/>
    <w:rsid w:val="00613AC1"/>
    <w:rsid w:val="00620F10"/>
    <w:rsid w:val="00623E0D"/>
    <w:rsid w:val="00626508"/>
    <w:rsid w:val="006411F7"/>
    <w:rsid w:val="00650895"/>
    <w:rsid w:val="00655BE6"/>
    <w:rsid w:val="0065715A"/>
    <w:rsid w:val="006706E2"/>
    <w:rsid w:val="006857AF"/>
    <w:rsid w:val="00691528"/>
    <w:rsid w:val="0069177A"/>
    <w:rsid w:val="00695F58"/>
    <w:rsid w:val="00697399"/>
    <w:rsid w:val="006C5D2C"/>
    <w:rsid w:val="006E00DE"/>
    <w:rsid w:val="006E28CE"/>
    <w:rsid w:val="006E392E"/>
    <w:rsid w:val="006F4AAD"/>
    <w:rsid w:val="006F4D22"/>
    <w:rsid w:val="006F5892"/>
    <w:rsid w:val="00702460"/>
    <w:rsid w:val="0070398E"/>
    <w:rsid w:val="007042B5"/>
    <w:rsid w:val="007107CE"/>
    <w:rsid w:val="00725AD3"/>
    <w:rsid w:val="00726E13"/>
    <w:rsid w:val="007323B1"/>
    <w:rsid w:val="0073513B"/>
    <w:rsid w:val="0075473F"/>
    <w:rsid w:val="0076458A"/>
    <w:rsid w:val="007745EE"/>
    <w:rsid w:val="0078132A"/>
    <w:rsid w:val="00781654"/>
    <w:rsid w:val="00787EBF"/>
    <w:rsid w:val="007944B7"/>
    <w:rsid w:val="00796470"/>
    <w:rsid w:val="007967C5"/>
    <w:rsid w:val="007A116B"/>
    <w:rsid w:val="007C60E8"/>
    <w:rsid w:val="007C7621"/>
    <w:rsid w:val="007C7B59"/>
    <w:rsid w:val="007D018D"/>
    <w:rsid w:val="007D3144"/>
    <w:rsid w:val="007D5CBC"/>
    <w:rsid w:val="007D5ED4"/>
    <w:rsid w:val="007D6B98"/>
    <w:rsid w:val="007E0136"/>
    <w:rsid w:val="007E7857"/>
    <w:rsid w:val="007F49E4"/>
    <w:rsid w:val="00802878"/>
    <w:rsid w:val="00807630"/>
    <w:rsid w:val="00820673"/>
    <w:rsid w:val="0082206D"/>
    <w:rsid w:val="0082318A"/>
    <w:rsid w:val="00823D59"/>
    <w:rsid w:val="008270F6"/>
    <w:rsid w:val="00827BD4"/>
    <w:rsid w:val="00830547"/>
    <w:rsid w:val="0083244B"/>
    <w:rsid w:val="0084480D"/>
    <w:rsid w:val="00850EE3"/>
    <w:rsid w:val="0085132E"/>
    <w:rsid w:val="008538D1"/>
    <w:rsid w:val="008626A5"/>
    <w:rsid w:val="00865CA6"/>
    <w:rsid w:val="00870807"/>
    <w:rsid w:val="00886BF5"/>
    <w:rsid w:val="0089112C"/>
    <w:rsid w:val="00891B9D"/>
    <w:rsid w:val="00891EEA"/>
    <w:rsid w:val="00892748"/>
    <w:rsid w:val="00894867"/>
    <w:rsid w:val="008961AB"/>
    <w:rsid w:val="008975C1"/>
    <w:rsid w:val="008A13B2"/>
    <w:rsid w:val="008B33F5"/>
    <w:rsid w:val="008C53E3"/>
    <w:rsid w:val="008D3498"/>
    <w:rsid w:val="008D35CC"/>
    <w:rsid w:val="008D435F"/>
    <w:rsid w:val="008E08A6"/>
    <w:rsid w:val="008E45AD"/>
    <w:rsid w:val="008F1ECF"/>
    <w:rsid w:val="00903973"/>
    <w:rsid w:val="00903E9D"/>
    <w:rsid w:val="00915670"/>
    <w:rsid w:val="009219FD"/>
    <w:rsid w:val="009317DB"/>
    <w:rsid w:val="009418D1"/>
    <w:rsid w:val="00943A52"/>
    <w:rsid w:val="00954780"/>
    <w:rsid w:val="00960CD6"/>
    <w:rsid w:val="00970F2D"/>
    <w:rsid w:val="009761B9"/>
    <w:rsid w:val="009764B2"/>
    <w:rsid w:val="0098299B"/>
    <w:rsid w:val="00982D50"/>
    <w:rsid w:val="00984024"/>
    <w:rsid w:val="009913C6"/>
    <w:rsid w:val="0099185F"/>
    <w:rsid w:val="009935EB"/>
    <w:rsid w:val="00995E86"/>
    <w:rsid w:val="009A1672"/>
    <w:rsid w:val="009A1D6B"/>
    <w:rsid w:val="009A2BA7"/>
    <w:rsid w:val="009C1D59"/>
    <w:rsid w:val="009D1903"/>
    <w:rsid w:val="009E0E4B"/>
    <w:rsid w:val="009E15E8"/>
    <w:rsid w:val="009E45E9"/>
    <w:rsid w:val="009E463C"/>
    <w:rsid w:val="009F2888"/>
    <w:rsid w:val="009F2EC7"/>
    <w:rsid w:val="009F48C9"/>
    <w:rsid w:val="00A01A77"/>
    <w:rsid w:val="00A01B83"/>
    <w:rsid w:val="00A04DE5"/>
    <w:rsid w:val="00A07DFB"/>
    <w:rsid w:val="00A226B0"/>
    <w:rsid w:val="00A233FC"/>
    <w:rsid w:val="00A5007E"/>
    <w:rsid w:val="00A50FC5"/>
    <w:rsid w:val="00A577C2"/>
    <w:rsid w:val="00A67DD3"/>
    <w:rsid w:val="00A776D1"/>
    <w:rsid w:val="00A80EEF"/>
    <w:rsid w:val="00A828C7"/>
    <w:rsid w:val="00A90EB9"/>
    <w:rsid w:val="00A95CDA"/>
    <w:rsid w:val="00A96752"/>
    <w:rsid w:val="00A96EDA"/>
    <w:rsid w:val="00AA3B7F"/>
    <w:rsid w:val="00AA6390"/>
    <w:rsid w:val="00AA6B56"/>
    <w:rsid w:val="00AB4105"/>
    <w:rsid w:val="00AB55DD"/>
    <w:rsid w:val="00AC686A"/>
    <w:rsid w:val="00AE154D"/>
    <w:rsid w:val="00AE1AA8"/>
    <w:rsid w:val="00AE1EEA"/>
    <w:rsid w:val="00AE44F4"/>
    <w:rsid w:val="00AE64F8"/>
    <w:rsid w:val="00AF3C1E"/>
    <w:rsid w:val="00AF4FAA"/>
    <w:rsid w:val="00AF6ADD"/>
    <w:rsid w:val="00B02B9F"/>
    <w:rsid w:val="00B12A41"/>
    <w:rsid w:val="00B135AA"/>
    <w:rsid w:val="00B1661A"/>
    <w:rsid w:val="00B22BC3"/>
    <w:rsid w:val="00B31D47"/>
    <w:rsid w:val="00B32B92"/>
    <w:rsid w:val="00B376B8"/>
    <w:rsid w:val="00B5000E"/>
    <w:rsid w:val="00B63783"/>
    <w:rsid w:val="00B667A8"/>
    <w:rsid w:val="00B7172B"/>
    <w:rsid w:val="00B73C4F"/>
    <w:rsid w:val="00B75B8D"/>
    <w:rsid w:val="00B76819"/>
    <w:rsid w:val="00B80554"/>
    <w:rsid w:val="00B91F23"/>
    <w:rsid w:val="00BA64EC"/>
    <w:rsid w:val="00BB3753"/>
    <w:rsid w:val="00BB4639"/>
    <w:rsid w:val="00BB6533"/>
    <w:rsid w:val="00BB73E7"/>
    <w:rsid w:val="00BB7BB5"/>
    <w:rsid w:val="00BC1C2A"/>
    <w:rsid w:val="00BC2297"/>
    <w:rsid w:val="00BC25CA"/>
    <w:rsid w:val="00BC282A"/>
    <w:rsid w:val="00BC3EA2"/>
    <w:rsid w:val="00BC48EB"/>
    <w:rsid w:val="00BD667E"/>
    <w:rsid w:val="00BD78D6"/>
    <w:rsid w:val="00BD7BA1"/>
    <w:rsid w:val="00BE29E6"/>
    <w:rsid w:val="00BE4D51"/>
    <w:rsid w:val="00BE54BF"/>
    <w:rsid w:val="00BF22F6"/>
    <w:rsid w:val="00C0102F"/>
    <w:rsid w:val="00C15F5E"/>
    <w:rsid w:val="00C25DA8"/>
    <w:rsid w:val="00C3409B"/>
    <w:rsid w:val="00C409F7"/>
    <w:rsid w:val="00C436CF"/>
    <w:rsid w:val="00C447DF"/>
    <w:rsid w:val="00C45AA9"/>
    <w:rsid w:val="00C51705"/>
    <w:rsid w:val="00C52E11"/>
    <w:rsid w:val="00C6167B"/>
    <w:rsid w:val="00C66821"/>
    <w:rsid w:val="00C70137"/>
    <w:rsid w:val="00C71D57"/>
    <w:rsid w:val="00C76597"/>
    <w:rsid w:val="00C77D05"/>
    <w:rsid w:val="00C823F3"/>
    <w:rsid w:val="00C826FA"/>
    <w:rsid w:val="00C8360D"/>
    <w:rsid w:val="00C87438"/>
    <w:rsid w:val="00C87532"/>
    <w:rsid w:val="00C92C61"/>
    <w:rsid w:val="00CA630C"/>
    <w:rsid w:val="00CB0E61"/>
    <w:rsid w:val="00CB39C0"/>
    <w:rsid w:val="00CC347A"/>
    <w:rsid w:val="00CC3E2F"/>
    <w:rsid w:val="00CD2127"/>
    <w:rsid w:val="00CD24E7"/>
    <w:rsid w:val="00CD5A1A"/>
    <w:rsid w:val="00CD6D8E"/>
    <w:rsid w:val="00CE35C9"/>
    <w:rsid w:val="00CE5094"/>
    <w:rsid w:val="00CF4F01"/>
    <w:rsid w:val="00D10D5F"/>
    <w:rsid w:val="00D327D8"/>
    <w:rsid w:val="00D33749"/>
    <w:rsid w:val="00D42BBD"/>
    <w:rsid w:val="00D43D89"/>
    <w:rsid w:val="00D45AB0"/>
    <w:rsid w:val="00D524DD"/>
    <w:rsid w:val="00D52DEC"/>
    <w:rsid w:val="00D56582"/>
    <w:rsid w:val="00D74D68"/>
    <w:rsid w:val="00D8157C"/>
    <w:rsid w:val="00D83C47"/>
    <w:rsid w:val="00D863E0"/>
    <w:rsid w:val="00D90068"/>
    <w:rsid w:val="00D9512E"/>
    <w:rsid w:val="00DA034E"/>
    <w:rsid w:val="00DA07D8"/>
    <w:rsid w:val="00DB3D99"/>
    <w:rsid w:val="00DB4833"/>
    <w:rsid w:val="00DC4226"/>
    <w:rsid w:val="00DD0FF3"/>
    <w:rsid w:val="00DD6DFE"/>
    <w:rsid w:val="00DE3E2F"/>
    <w:rsid w:val="00DF1519"/>
    <w:rsid w:val="00DF5541"/>
    <w:rsid w:val="00E00F30"/>
    <w:rsid w:val="00E0767B"/>
    <w:rsid w:val="00E1765A"/>
    <w:rsid w:val="00E213FB"/>
    <w:rsid w:val="00E244C9"/>
    <w:rsid w:val="00E24F16"/>
    <w:rsid w:val="00E25DC2"/>
    <w:rsid w:val="00E2626F"/>
    <w:rsid w:val="00E423BA"/>
    <w:rsid w:val="00E46E9D"/>
    <w:rsid w:val="00E5107E"/>
    <w:rsid w:val="00E52661"/>
    <w:rsid w:val="00E56164"/>
    <w:rsid w:val="00E576ED"/>
    <w:rsid w:val="00E61D3F"/>
    <w:rsid w:val="00E72C2A"/>
    <w:rsid w:val="00E75328"/>
    <w:rsid w:val="00E765E7"/>
    <w:rsid w:val="00E8279B"/>
    <w:rsid w:val="00E83C76"/>
    <w:rsid w:val="00E85B5C"/>
    <w:rsid w:val="00E953E5"/>
    <w:rsid w:val="00EA28EB"/>
    <w:rsid w:val="00EA4068"/>
    <w:rsid w:val="00EB1FAC"/>
    <w:rsid w:val="00EB5B79"/>
    <w:rsid w:val="00EB7F3B"/>
    <w:rsid w:val="00ED0C1B"/>
    <w:rsid w:val="00EE255C"/>
    <w:rsid w:val="00EE3D04"/>
    <w:rsid w:val="00EE500F"/>
    <w:rsid w:val="00EE6EEA"/>
    <w:rsid w:val="00EF221B"/>
    <w:rsid w:val="00EF4B0B"/>
    <w:rsid w:val="00F10D94"/>
    <w:rsid w:val="00F10E9E"/>
    <w:rsid w:val="00F30E64"/>
    <w:rsid w:val="00F32B46"/>
    <w:rsid w:val="00F36858"/>
    <w:rsid w:val="00F36D88"/>
    <w:rsid w:val="00F40F7B"/>
    <w:rsid w:val="00F461E8"/>
    <w:rsid w:val="00F528BB"/>
    <w:rsid w:val="00F56882"/>
    <w:rsid w:val="00F57C42"/>
    <w:rsid w:val="00F70F58"/>
    <w:rsid w:val="00F71137"/>
    <w:rsid w:val="00F7163A"/>
    <w:rsid w:val="00F71BC5"/>
    <w:rsid w:val="00F77D35"/>
    <w:rsid w:val="00F808BF"/>
    <w:rsid w:val="00F94903"/>
    <w:rsid w:val="00FA03EB"/>
    <w:rsid w:val="00FA27CD"/>
    <w:rsid w:val="00FC163F"/>
    <w:rsid w:val="00FC39A6"/>
    <w:rsid w:val="00FC4087"/>
    <w:rsid w:val="00FC42D4"/>
    <w:rsid w:val="00FC5475"/>
    <w:rsid w:val="00FD1E52"/>
    <w:rsid w:val="00FD217B"/>
    <w:rsid w:val="00FD608E"/>
    <w:rsid w:val="00FD64CF"/>
    <w:rsid w:val="00FE1E6F"/>
    <w:rsid w:val="00FF18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71868"/>
  <w15:docId w15:val="{B900FC89-B944-41A0-96D9-6D65AF0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2C"/>
    <w:rPr>
      <w:sz w:val="24"/>
      <w:szCs w:val="24"/>
    </w:rPr>
  </w:style>
  <w:style w:type="paragraph" w:styleId="Heading2">
    <w:name w:val="heading 2"/>
    <w:basedOn w:val="Normal"/>
    <w:next w:val="Normal"/>
    <w:link w:val="Heading2Char"/>
    <w:uiPriority w:val="9"/>
    <w:semiHidden/>
    <w:unhideWhenUsed/>
    <w:qFormat/>
    <w:locked/>
    <w:rsid w:val="005E77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5AD"/>
    <w:pPr>
      <w:tabs>
        <w:tab w:val="center" w:pos="4153"/>
        <w:tab w:val="right" w:pos="8306"/>
      </w:tabs>
    </w:pPr>
  </w:style>
  <w:style w:type="character" w:customStyle="1" w:styleId="HeaderChar">
    <w:name w:val="Header Char"/>
    <w:link w:val="Header"/>
    <w:uiPriority w:val="99"/>
    <w:semiHidden/>
    <w:locked/>
    <w:rsid w:val="001109B5"/>
    <w:rPr>
      <w:rFonts w:cs="Times New Roman"/>
      <w:sz w:val="24"/>
      <w:szCs w:val="24"/>
    </w:rPr>
  </w:style>
  <w:style w:type="paragraph" w:styleId="Footer">
    <w:name w:val="footer"/>
    <w:basedOn w:val="Normal"/>
    <w:link w:val="FooterChar"/>
    <w:uiPriority w:val="99"/>
    <w:rsid w:val="008E45AD"/>
    <w:pPr>
      <w:tabs>
        <w:tab w:val="center" w:pos="4153"/>
        <w:tab w:val="right" w:pos="8306"/>
      </w:tabs>
    </w:pPr>
  </w:style>
  <w:style w:type="character" w:customStyle="1" w:styleId="FooterChar">
    <w:name w:val="Footer Char"/>
    <w:link w:val="Footer"/>
    <w:uiPriority w:val="99"/>
    <w:locked/>
    <w:rsid w:val="00D56582"/>
    <w:rPr>
      <w:rFonts w:cs="Times New Roman"/>
      <w:sz w:val="24"/>
    </w:rPr>
  </w:style>
  <w:style w:type="character" w:styleId="LineNumber">
    <w:name w:val="line number"/>
    <w:uiPriority w:val="99"/>
    <w:rsid w:val="00B135AA"/>
    <w:rPr>
      <w:rFonts w:cs="Times New Roman"/>
    </w:rPr>
  </w:style>
  <w:style w:type="paragraph" w:customStyle="1" w:styleId="CoverText">
    <w:name w:val="CoverText"/>
    <w:basedOn w:val="Normal"/>
    <w:uiPriority w:val="99"/>
    <w:rsid w:val="005A2BD6"/>
    <w:pPr>
      <w:jc w:val="right"/>
    </w:pPr>
    <w:rPr>
      <w:szCs w:val="20"/>
      <w:u w:val="single"/>
      <w:lang w:eastAsia="en-US"/>
    </w:rPr>
  </w:style>
  <w:style w:type="character" w:styleId="Hyperlink">
    <w:name w:val="Hyperlink"/>
    <w:uiPriority w:val="99"/>
    <w:rsid w:val="00216014"/>
    <w:rPr>
      <w:rFonts w:cs="Times New Roman"/>
      <w:color w:val="0000FF"/>
      <w:u w:val="single"/>
    </w:rPr>
  </w:style>
  <w:style w:type="character" w:styleId="FollowedHyperlink">
    <w:name w:val="FollowedHyperlink"/>
    <w:uiPriority w:val="99"/>
    <w:rsid w:val="00EA4068"/>
    <w:rPr>
      <w:rFonts w:cs="Times New Roman"/>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Mention1">
    <w:name w:val="Mention1"/>
    <w:uiPriority w:val="99"/>
    <w:semiHidden/>
    <w:rsid w:val="0060518E"/>
    <w:rPr>
      <w:rFonts w:cs="Times New Roman"/>
      <w:color w:val="2B579A"/>
      <w:shd w:val="clear" w:color="auto" w:fill="E6E6E6"/>
    </w:rPr>
  </w:style>
  <w:style w:type="table" w:styleId="TableGrid">
    <w:name w:val="Table Grid"/>
    <w:basedOn w:val="TableNormal"/>
    <w:uiPriority w:val="99"/>
    <w:rsid w:val="001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500F5"/>
    <w:rPr>
      <w:rFonts w:cs="Times New Roman"/>
    </w:rPr>
  </w:style>
  <w:style w:type="paragraph" w:styleId="BalloonText">
    <w:name w:val="Balloon Text"/>
    <w:basedOn w:val="Normal"/>
    <w:link w:val="BalloonTextChar"/>
    <w:uiPriority w:val="99"/>
    <w:semiHidden/>
    <w:locked/>
    <w:rsid w:val="00781654"/>
    <w:rPr>
      <w:rFonts w:ascii="Tahoma" w:hAnsi="Tahoma" w:cs="Tahoma"/>
      <w:sz w:val="16"/>
      <w:szCs w:val="16"/>
    </w:rPr>
  </w:style>
  <w:style w:type="character" w:customStyle="1" w:styleId="BalloonTextChar">
    <w:name w:val="Balloon Text Char"/>
    <w:link w:val="BalloonText"/>
    <w:uiPriority w:val="99"/>
    <w:semiHidden/>
    <w:locked/>
    <w:rsid w:val="001109B5"/>
    <w:rPr>
      <w:rFonts w:cs="Times New Roman"/>
      <w:sz w:val="2"/>
    </w:rPr>
  </w:style>
  <w:style w:type="paragraph" w:styleId="FootnoteText">
    <w:name w:val="footnote text"/>
    <w:basedOn w:val="Normal"/>
    <w:link w:val="FootnoteTextChar"/>
    <w:uiPriority w:val="99"/>
    <w:semiHidden/>
    <w:rsid w:val="00827BD4"/>
    <w:rPr>
      <w:sz w:val="20"/>
      <w:szCs w:val="20"/>
    </w:rPr>
  </w:style>
  <w:style w:type="character" w:customStyle="1" w:styleId="FootnoteTextChar">
    <w:name w:val="Footnote Text Char"/>
    <w:link w:val="FootnoteText"/>
    <w:uiPriority w:val="99"/>
    <w:semiHidden/>
    <w:locked/>
    <w:rsid w:val="001109B5"/>
    <w:rPr>
      <w:rFonts w:cs="Times New Roman"/>
      <w:sz w:val="20"/>
      <w:szCs w:val="20"/>
    </w:rPr>
  </w:style>
  <w:style w:type="character" w:styleId="FootnoteReference">
    <w:name w:val="footnote reference"/>
    <w:uiPriority w:val="99"/>
    <w:semiHidden/>
    <w:rsid w:val="00827BD4"/>
    <w:rPr>
      <w:rFonts w:cs="Times New Roman"/>
      <w:vertAlign w:val="superscript"/>
    </w:rPr>
  </w:style>
  <w:style w:type="character" w:styleId="UnresolvedMention">
    <w:name w:val="Unresolved Mention"/>
    <w:basedOn w:val="DefaultParagraphFont"/>
    <w:uiPriority w:val="99"/>
    <w:semiHidden/>
    <w:unhideWhenUsed/>
    <w:rsid w:val="00E61D3F"/>
    <w:rPr>
      <w:color w:val="605E5C"/>
      <w:shd w:val="clear" w:color="auto" w:fill="E1DFDD"/>
    </w:rPr>
  </w:style>
  <w:style w:type="character" w:customStyle="1" w:styleId="Heading2Char">
    <w:name w:val="Heading 2 Char"/>
    <w:basedOn w:val="DefaultParagraphFont"/>
    <w:link w:val="Heading2"/>
    <w:uiPriority w:val="9"/>
    <w:semiHidden/>
    <w:rsid w:val="005E77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453">
      <w:bodyDiv w:val="1"/>
      <w:marLeft w:val="0"/>
      <w:marRight w:val="0"/>
      <w:marTop w:val="0"/>
      <w:marBottom w:val="0"/>
      <w:divBdr>
        <w:top w:val="none" w:sz="0" w:space="0" w:color="auto"/>
        <w:left w:val="none" w:sz="0" w:space="0" w:color="auto"/>
        <w:bottom w:val="none" w:sz="0" w:space="0" w:color="auto"/>
        <w:right w:val="none" w:sz="0" w:space="0" w:color="auto"/>
      </w:divBdr>
    </w:div>
    <w:div w:id="603391164">
      <w:marLeft w:val="0"/>
      <w:marRight w:val="0"/>
      <w:marTop w:val="0"/>
      <w:marBottom w:val="0"/>
      <w:divBdr>
        <w:top w:val="none" w:sz="0" w:space="0" w:color="auto"/>
        <w:left w:val="none" w:sz="0" w:space="0" w:color="auto"/>
        <w:bottom w:val="none" w:sz="0" w:space="0" w:color="auto"/>
        <w:right w:val="none" w:sz="0" w:space="0" w:color="auto"/>
      </w:divBdr>
    </w:div>
    <w:div w:id="603391165">
      <w:marLeft w:val="0"/>
      <w:marRight w:val="0"/>
      <w:marTop w:val="0"/>
      <w:marBottom w:val="0"/>
      <w:divBdr>
        <w:top w:val="none" w:sz="0" w:space="0" w:color="auto"/>
        <w:left w:val="none" w:sz="0" w:space="0" w:color="auto"/>
        <w:bottom w:val="none" w:sz="0" w:space="0" w:color="auto"/>
        <w:right w:val="none" w:sz="0" w:space="0" w:color="auto"/>
      </w:divBdr>
    </w:div>
    <w:div w:id="603391166">
      <w:marLeft w:val="0"/>
      <w:marRight w:val="0"/>
      <w:marTop w:val="0"/>
      <w:marBottom w:val="0"/>
      <w:divBdr>
        <w:top w:val="none" w:sz="0" w:space="0" w:color="auto"/>
        <w:left w:val="none" w:sz="0" w:space="0" w:color="auto"/>
        <w:bottom w:val="none" w:sz="0" w:space="0" w:color="auto"/>
        <w:right w:val="none" w:sz="0" w:space="0" w:color="auto"/>
      </w:divBdr>
    </w:div>
    <w:div w:id="714433349">
      <w:bodyDiv w:val="1"/>
      <w:marLeft w:val="0"/>
      <w:marRight w:val="0"/>
      <w:marTop w:val="0"/>
      <w:marBottom w:val="0"/>
      <w:divBdr>
        <w:top w:val="none" w:sz="0" w:space="0" w:color="auto"/>
        <w:left w:val="none" w:sz="0" w:space="0" w:color="auto"/>
        <w:bottom w:val="none" w:sz="0" w:space="0" w:color="auto"/>
        <w:right w:val="none" w:sz="0" w:space="0" w:color="auto"/>
      </w:divBdr>
    </w:div>
    <w:div w:id="778836755">
      <w:bodyDiv w:val="1"/>
      <w:marLeft w:val="0"/>
      <w:marRight w:val="0"/>
      <w:marTop w:val="0"/>
      <w:marBottom w:val="0"/>
      <w:divBdr>
        <w:top w:val="none" w:sz="0" w:space="0" w:color="auto"/>
        <w:left w:val="none" w:sz="0" w:space="0" w:color="auto"/>
        <w:bottom w:val="none" w:sz="0" w:space="0" w:color="auto"/>
        <w:right w:val="none" w:sz="0" w:space="0" w:color="auto"/>
      </w:divBdr>
    </w:div>
    <w:div w:id="819468448">
      <w:bodyDiv w:val="1"/>
      <w:marLeft w:val="0"/>
      <w:marRight w:val="0"/>
      <w:marTop w:val="0"/>
      <w:marBottom w:val="0"/>
      <w:divBdr>
        <w:top w:val="none" w:sz="0" w:space="0" w:color="auto"/>
        <w:left w:val="none" w:sz="0" w:space="0" w:color="auto"/>
        <w:bottom w:val="none" w:sz="0" w:space="0" w:color="auto"/>
        <w:right w:val="none" w:sz="0" w:space="0" w:color="auto"/>
      </w:divBdr>
    </w:div>
    <w:div w:id="826746960">
      <w:bodyDiv w:val="1"/>
      <w:marLeft w:val="0"/>
      <w:marRight w:val="0"/>
      <w:marTop w:val="0"/>
      <w:marBottom w:val="0"/>
      <w:divBdr>
        <w:top w:val="none" w:sz="0" w:space="0" w:color="auto"/>
        <w:left w:val="none" w:sz="0" w:space="0" w:color="auto"/>
        <w:bottom w:val="none" w:sz="0" w:space="0" w:color="auto"/>
        <w:right w:val="none" w:sz="0" w:space="0" w:color="auto"/>
      </w:divBdr>
    </w:div>
    <w:div w:id="898052111">
      <w:bodyDiv w:val="1"/>
      <w:marLeft w:val="0"/>
      <w:marRight w:val="0"/>
      <w:marTop w:val="0"/>
      <w:marBottom w:val="0"/>
      <w:divBdr>
        <w:top w:val="none" w:sz="0" w:space="0" w:color="auto"/>
        <w:left w:val="none" w:sz="0" w:space="0" w:color="auto"/>
        <w:bottom w:val="none" w:sz="0" w:space="0" w:color="auto"/>
        <w:right w:val="none" w:sz="0" w:space="0" w:color="auto"/>
      </w:divBdr>
    </w:div>
    <w:div w:id="1613518215">
      <w:bodyDiv w:val="1"/>
      <w:marLeft w:val="0"/>
      <w:marRight w:val="0"/>
      <w:marTop w:val="0"/>
      <w:marBottom w:val="0"/>
      <w:divBdr>
        <w:top w:val="none" w:sz="0" w:space="0" w:color="auto"/>
        <w:left w:val="none" w:sz="0" w:space="0" w:color="auto"/>
        <w:bottom w:val="none" w:sz="0" w:space="0" w:color="auto"/>
        <w:right w:val="none" w:sz="0" w:space="0" w:color="auto"/>
      </w:divBdr>
    </w:div>
    <w:div w:id="1912158120">
      <w:bodyDiv w:val="1"/>
      <w:marLeft w:val="0"/>
      <w:marRight w:val="0"/>
      <w:marTop w:val="0"/>
      <w:marBottom w:val="0"/>
      <w:divBdr>
        <w:top w:val="none" w:sz="0" w:space="0" w:color="auto"/>
        <w:left w:val="none" w:sz="0" w:space="0" w:color="auto"/>
        <w:bottom w:val="none" w:sz="0" w:space="0" w:color="auto"/>
        <w:right w:val="none" w:sz="0" w:space="0" w:color="auto"/>
      </w:divBdr>
    </w:div>
    <w:div w:id="19637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ivil@opus2.digi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ivil@opus2.digita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Complex%20Family%20Judgment%20Template%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92168D660C84680841F0DF1FC6507" ma:contentTypeVersion="4" ma:contentTypeDescription="Create a new document." ma:contentTypeScope="" ma:versionID="14d670860f9b563d371bbd0467474d06">
  <xsd:schema xmlns:xsd="http://www.w3.org/2001/XMLSchema" xmlns:xs="http://www.w3.org/2001/XMLSchema" xmlns:p="http://schemas.microsoft.com/office/2006/metadata/properties" xmlns:ns2="729ac895-10fc-4026-abf7-f560f0bdc2bc" xmlns:ns3="88e34b3a-be1f-485b-9239-5fed586d8f4b" targetNamespace="http://schemas.microsoft.com/office/2006/metadata/properties" ma:root="true" ma:fieldsID="ea9fce66ad3519fbc99eb75da0f5f80f" ns2:_="" ns3:_="">
    <xsd:import namespace="729ac895-10fc-4026-abf7-f560f0bdc2bc"/>
    <xsd:import namespace="88e34b3a-be1f-485b-9239-5fed586d8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ac895-10fc-4026-abf7-f560f0bd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34b3a-be1f-485b-9239-5fed586d8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69BC5-248D-4697-AF65-962A0963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ac895-10fc-4026-abf7-f560f0bdc2bc"/>
    <ds:schemaRef ds:uri="88e34b3a-be1f-485b-9239-5fed586d8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B6FDB-0F85-4560-B4D9-366BB94E2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C94B2-3665-495F-BD84-793716EB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Complex Family Judgment Template 02.05.17</Template>
  <TotalTime>0</TotalTime>
  <Pages>10</Pages>
  <Words>4174</Words>
  <Characters>19869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If this Transcript is to be reported or published, there is a requirement to ensure that no reporting restriction will be breached</vt:lpstr>
    </vt:vector>
  </TitlesOfParts>
  <Company>Beverley F. Nunnery &amp; Co.</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this Transcript is to be reported or published, there is a requirement to ensure that no reporting restriction will be breached</dc:title>
  <dc:subject/>
  <dc:creator>Catherine Wakeford</dc:creator>
  <cp:keywords/>
  <dc:description/>
  <cp:lastModifiedBy>Farida Ghazi</cp:lastModifiedBy>
  <cp:revision>2</cp:revision>
  <cp:lastPrinted>2018-04-26T14:53:00Z</cp:lastPrinted>
  <dcterms:created xsi:type="dcterms:W3CDTF">2021-05-07T11:04:00Z</dcterms:created>
  <dcterms:modified xsi:type="dcterms:W3CDTF">2021-05-07T11:04:00Z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0x01010058692168D660C84680841F0DF1FC6507</vt:lpwstr>
  </property>
</Properties>
</file>